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7B54" w:rsidRDefault="00FD7B54" w:rsidP="00FD7B54">
      <w:pPr>
        <w:jc w:val="center"/>
        <w:rPr>
          <w:kern w:val="2"/>
          <w:szCs w:val="20"/>
          <w:lang w:eastAsia="pl-PL" w:bidi="hi-IN"/>
        </w:rPr>
      </w:pPr>
      <w:r>
        <w:rPr>
          <w:noProof/>
          <w:kern w:val="2"/>
          <w:lang w:eastAsia="pl-PL"/>
        </w:rPr>
        <w:drawing>
          <wp:inline distT="0" distB="0" distL="0" distR="0">
            <wp:extent cx="1692275" cy="709930"/>
            <wp:effectExtent l="0" t="0" r="0" b="0"/>
            <wp:docPr id="212293029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4" t="-79" r="-34" b="-79"/>
                    <a:stretch>
                      <a:fillRect/>
                    </a:stretch>
                  </pic:blipFill>
                  <pic:spPr bwMode="auto">
                    <a:xfrm>
                      <a:off x="0" y="0"/>
                      <a:ext cx="1692275" cy="709930"/>
                    </a:xfrm>
                    <a:prstGeom prst="rect">
                      <a:avLst/>
                    </a:prstGeom>
                    <a:solidFill>
                      <a:srgbClr val="FFFFFF"/>
                    </a:solidFill>
                    <a:ln>
                      <a:noFill/>
                    </a:ln>
                  </pic:spPr>
                </pic:pic>
              </a:graphicData>
            </a:graphic>
          </wp:inline>
        </w:drawing>
      </w:r>
      <w:r>
        <w:rPr>
          <w:kern w:val="2"/>
          <w:lang w:eastAsia="pl-PL" w:bidi="hi-IN"/>
        </w:rPr>
        <w:br/>
      </w:r>
      <w:r>
        <w:rPr>
          <w:kern w:val="2"/>
          <w:szCs w:val="20"/>
          <w:lang w:eastAsia="pl-PL" w:bidi="hi-IN"/>
        </w:rPr>
        <w:t>mgr inż. arch. Michał Kondracki</w:t>
      </w:r>
    </w:p>
    <w:p w:rsidR="00FD7B54" w:rsidRDefault="00FD7B54" w:rsidP="00FD7B54">
      <w:pPr>
        <w:jc w:val="center"/>
        <w:rPr>
          <w:kern w:val="2"/>
          <w:szCs w:val="20"/>
          <w:lang w:eastAsia="pl-PL" w:bidi="hi-IN"/>
        </w:rPr>
      </w:pPr>
      <w:r>
        <w:rPr>
          <w:kern w:val="2"/>
          <w:szCs w:val="20"/>
          <w:lang w:eastAsia="pl-PL" w:bidi="hi-IN"/>
        </w:rPr>
        <w:t>ul. Z.Krasińskiego 23/14, 23-204 Kraśnik</w:t>
      </w:r>
    </w:p>
    <w:p w:rsidR="00FD7B54" w:rsidRDefault="00FD7B54" w:rsidP="00FD7B54">
      <w:pPr>
        <w:jc w:val="center"/>
        <w:rPr>
          <w:kern w:val="2"/>
          <w:szCs w:val="20"/>
          <w:lang w:eastAsia="pl-PL" w:bidi="hi-IN"/>
        </w:rPr>
      </w:pPr>
      <w:r>
        <w:rPr>
          <w:kern w:val="2"/>
          <w:szCs w:val="20"/>
          <w:lang w:eastAsia="pl-PL" w:bidi="hi-IN"/>
        </w:rPr>
        <w:t>Biuro projektowe: ul. M.Konopnickiej 1, 23-204 Kraśnik</w:t>
      </w:r>
    </w:p>
    <w:p w:rsidR="00FD7B54" w:rsidRDefault="00FD7B54" w:rsidP="00FD7B54">
      <w:pPr>
        <w:jc w:val="center"/>
        <w:rPr>
          <w:kern w:val="2"/>
          <w:lang w:val="de-DE" w:eastAsia="pl-PL" w:bidi="hi-IN"/>
        </w:rPr>
      </w:pPr>
      <w:r>
        <w:rPr>
          <w:kern w:val="2"/>
          <w:szCs w:val="20"/>
          <w:lang w:eastAsia="pl-PL" w:bidi="hi-IN"/>
        </w:rPr>
        <w:t>tel. 792 371 589, mail: architektura.krasnik@gmail.com</w:t>
      </w:r>
    </w:p>
    <w:p w:rsidR="00FD7B54" w:rsidRDefault="00FD7B54" w:rsidP="00FD7B54">
      <w:pPr>
        <w:jc w:val="left"/>
        <w:rPr>
          <w:kern w:val="2"/>
          <w:lang w:val="de-DE" w:eastAsia="pl-PL" w:bidi="hi-IN"/>
        </w:rPr>
      </w:pPr>
    </w:p>
    <w:p w:rsidR="00FD7B54" w:rsidRDefault="00FD7B54" w:rsidP="00FD7B54">
      <w:pPr>
        <w:jc w:val="center"/>
        <w:rPr>
          <w:rFonts w:ascii="Times New Roman" w:hAnsi="Times New Roman"/>
          <w:b/>
          <w:sz w:val="36"/>
          <w:szCs w:val="36"/>
          <w:u w:val="single"/>
        </w:rPr>
      </w:pPr>
    </w:p>
    <w:p w:rsidR="00FD7B54" w:rsidRDefault="00FD7B54" w:rsidP="00FD7B54">
      <w:pPr>
        <w:jc w:val="center"/>
        <w:rPr>
          <w:rFonts w:ascii="Times New Roman" w:hAnsi="Times New Roman" w:cs="Times New Roman"/>
          <w:b/>
          <w:szCs w:val="16"/>
          <w:u w:val="single"/>
          <w:lang w:eastAsia="ar-SA"/>
        </w:rPr>
      </w:pPr>
      <w:r w:rsidRPr="00FD7B54">
        <w:rPr>
          <w:rFonts w:ascii="Times New Roman" w:hAnsi="Times New Roman"/>
          <w:b/>
          <w:sz w:val="36"/>
          <w:szCs w:val="36"/>
          <w:u w:val="single"/>
        </w:rPr>
        <w:t>SZCZEGÓŁOWE SPECYFIKACJE TECHNICZNE WYKONANIA I ODBIORU ROBÓT BUDOWLANYCH</w:t>
      </w:r>
      <w:r w:rsidRPr="00FD7B54">
        <w:rPr>
          <w:rFonts w:ascii="Times New Roman" w:hAnsi="Times New Roman" w:cs="Times New Roman"/>
          <w:b/>
          <w:sz w:val="56"/>
          <w:szCs w:val="56"/>
          <w:u w:val="single"/>
          <w:lang w:eastAsia="ar-SA"/>
        </w:rPr>
        <w:t xml:space="preserve"> </w:t>
      </w:r>
      <w:r>
        <w:rPr>
          <w:rFonts w:ascii="Times New Roman" w:hAnsi="Times New Roman" w:cs="Times New Roman"/>
          <w:b/>
          <w:sz w:val="36"/>
          <w:szCs w:val="36"/>
          <w:u w:val="single"/>
          <w:lang w:eastAsia="ar-SA"/>
        </w:rPr>
        <w:t>(BRANŻA DROGOWA)</w:t>
      </w:r>
    </w:p>
    <w:p w:rsidR="00FD7B54" w:rsidRDefault="00FD7B54" w:rsidP="00FD7B54">
      <w:pPr>
        <w:jc w:val="center"/>
        <w:rPr>
          <w:rFonts w:ascii="Times New Roman" w:hAnsi="Times New Roman" w:cs="Times New Roman"/>
          <w:b/>
          <w:szCs w:val="16"/>
          <w:u w:val="single"/>
          <w:lang w:eastAsia="ar-SA"/>
        </w:rPr>
      </w:pPr>
      <w:r>
        <w:rPr>
          <w:rFonts w:ascii="Times New Roman" w:hAnsi="Times New Roman" w:cs="Times New Roman"/>
          <w:b/>
          <w:szCs w:val="16"/>
          <w:u w:val="single"/>
          <w:lang w:eastAsia="ar-SA"/>
        </w:rPr>
        <w:t>STRONA TYTUŁOWA</w:t>
      </w:r>
    </w:p>
    <w:p w:rsidR="00E847A6" w:rsidRDefault="00E847A6" w:rsidP="00FD7B54">
      <w:pPr>
        <w:jc w:val="center"/>
        <w:rPr>
          <w:rFonts w:ascii="Times New Roman" w:hAnsi="Times New Roman" w:cs="Times New Roman"/>
          <w:b/>
          <w:szCs w:val="16"/>
          <w:u w:val="single"/>
          <w:lang w:eastAsia="ar-SA"/>
        </w:rPr>
      </w:pPr>
    </w:p>
    <w:p w:rsidR="00E847A6" w:rsidRDefault="00E847A6" w:rsidP="00FD7B54">
      <w:pPr>
        <w:jc w:val="center"/>
        <w:rPr>
          <w:rFonts w:ascii="Times New Roman" w:hAnsi="Times New Roman" w:cs="Times New Roman"/>
          <w:b/>
          <w:sz w:val="32"/>
          <w:szCs w:val="32"/>
          <w:lang w:eastAsia="ar-SA"/>
        </w:rPr>
      </w:pPr>
    </w:p>
    <w:p w:rsidR="00E847A6" w:rsidRDefault="00E847A6" w:rsidP="00E847A6">
      <w:pPr>
        <w:rPr>
          <w:rFonts w:ascii="Times New Roman" w:hAnsi="Times New Roman"/>
          <w:b/>
          <w:bCs/>
          <w:sz w:val="28"/>
          <w:szCs w:val="32"/>
        </w:rPr>
      </w:pPr>
      <w:r>
        <w:rPr>
          <w:rFonts w:ascii="Times New Roman" w:hAnsi="Times New Roman"/>
          <w:b/>
          <w:sz w:val="32"/>
          <w:szCs w:val="32"/>
        </w:rPr>
        <w:t>I N W E S T Y C J A:</w:t>
      </w:r>
      <w:r>
        <w:rPr>
          <w:rFonts w:ascii="Times New Roman" w:hAnsi="Times New Roman"/>
          <w:b/>
          <w:sz w:val="24"/>
          <w:szCs w:val="24"/>
        </w:rPr>
        <w:t xml:space="preserve">  </w:t>
      </w:r>
    </w:p>
    <w:p w:rsidR="00FD7B54" w:rsidRDefault="00FD7B54" w:rsidP="00FD7B54">
      <w:pPr>
        <w:jc w:val="left"/>
        <w:rPr>
          <w:rFonts w:ascii="Times New Roman" w:hAnsi="Times New Roman" w:cs="Times New Roman"/>
          <w:b/>
          <w:sz w:val="32"/>
          <w:szCs w:val="32"/>
          <w:lang w:eastAsia="ar-SA"/>
        </w:rPr>
      </w:pPr>
    </w:p>
    <w:p w:rsidR="00E847A6" w:rsidRDefault="00E847A6" w:rsidP="00E847A6">
      <w:pPr>
        <w:ind w:left="2124" w:hanging="708"/>
        <w:jc w:val="center"/>
        <w:rPr>
          <w:rFonts w:ascii="Times New Roman" w:hAnsi="Times New Roman"/>
          <w:b/>
          <w:bCs/>
          <w:sz w:val="32"/>
          <w:szCs w:val="32"/>
        </w:rPr>
      </w:pPr>
      <w:r>
        <w:rPr>
          <w:rFonts w:ascii="Times New Roman" w:hAnsi="Times New Roman"/>
          <w:b/>
          <w:bCs/>
          <w:sz w:val="28"/>
          <w:szCs w:val="32"/>
        </w:rPr>
        <w:t>ZMIANA SPOSOBU UŻYTKOWANIA CZĘŚCI POMIESZCZEŃ PRZEDSZKOLA Z PRZEZNACZENIEM NA ŻŁOBEK "BAJKOWA KRAINA"</w:t>
      </w:r>
    </w:p>
    <w:p w:rsidR="00E847A6" w:rsidRDefault="00E847A6" w:rsidP="00E847A6">
      <w:pPr>
        <w:ind w:left="2124" w:hanging="708"/>
        <w:jc w:val="center"/>
        <w:rPr>
          <w:rFonts w:ascii="Times New Roman" w:hAnsi="Times New Roman"/>
          <w:b/>
          <w:bCs/>
          <w:sz w:val="32"/>
          <w:szCs w:val="32"/>
        </w:rPr>
      </w:pPr>
    </w:p>
    <w:p w:rsidR="00E847A6" w:rsidRDefault="00E847A6" w:rsidP="00E847A6">
      <w:pPr>
        <w:ind w:left="2832" w:hanging="2832"/>
        <w:rPr>
          <w:rFonts w:ascii="Times New Roman" w:hAnsi="Times New Roman"/>
          <w:b/>
          <w:sz w:val="32"/>
          <w:szCs w:val="32"/>
        </w:rPr>
      </w:pPr>
      <w:r>
        <w:rPr>
          <w:rFonts w:ascii="Times New Roman" w:hAnsi="Times New Roman"/>
          <w:b/>
          <w:sz w:val="32"/>
          <w:szCs w:val="32"/>
        </w:rPr>
        <w:t xml:space="preserve">  I N W E S T O R :</w:t>
      </w:r>
      <w:r>
        <w:rPr>
          <w:rFonts w:ascii="Times New Roman" w:hAnsi="Times New Roman"/>
          <w:b/>
          <w:sz w:val="36"/>
          <w:szCs w:val="36"/>
        </w:rPr>
        <w:tab/>
      </w:r>
      <w:r>
        <w:rPr>
          <w:rFonts w:ascii="Times New Roman" w:hAnsi="Times New Roman"/>
          <w:b/>
          <w:sz w:val="32"/>
          <w:szCs w:val="32"/>
        </w:rPr>
        <w:t xml:space="preserve"> </w:t>
      </w:r>
      <w:r>
        <w:rPr>
          <w:rFonts w:ascii="Times New Roman" w:hAnsi="Times New Roman"/>
          <w:b/>
          <w:color w:val="000000"/>
          <w:sz w:val="32"/>
          <w:szCs w:val="32"/>
        </w:rPr>
        <w:t xml:space="preserve"> GMINA TRZYDNIK DUŻY  </w:t>
      </w:r>
      <w:r>
        <w:rPr>
          <w:rFonts w:ascii="Times New Roman" w:hAnsi="Times New Roman"/>
        </w:rPr>
        <w:t xml:space="preserve"> </w:t>
      </w:r>
    </w:p>
    <w:p w:rsidR="00E847A6" w:rsidRDefault="00E847A6" w:rsidP="00E847A6">
      <w:pPr>
        <w:ind w:left="2832" w:hanging="2832"/>
        <w:rPr>
          <w:rFonts w:ascii="Times New Roman" w:hAnsi="Times New Roman"/>
          <w:b/>
          <w:sz w:val="28"/>
          <w:szCs w:val="32"/>
        </w:rPr>
      </w:pPr>
      <w:r>
        <w:rPr>
          <w:rFonts w:ascii="Times New Roman" w:hAnsi="Times New Roman"/>
          <w:b/>
          <w:sz w:val="32"/>
          <w:szCs w:val="32"/>
        </w:rPr>
        <w:tab/>
        <w:t xml:space="preserve">   </w:t>
      </w:r>
      <w:r>
        <w:rPr>
          <w:rFonts w:ascii="Times New Roman" w:hAnsi="Times New Roman"/>
          <w:b/>
          <w:szCs w:val="32"/>
        </w:rPr>
        <w:t>TRZYDNIK  DUŻY 59A, 23-230 TRZYDNIK  DUŻY</w:t>
      </w:r>
    </w:p>
    <w:p w:rsidR="00E847A6" w:rsidRDefault="00E847A6" w:rsidP="00E847A6">
      <w:pPr>
        <w:ind w:left="2832" w:hanging="2832"/>
        <w:rPr>
          <w:rFonts w:ascii="Times New Roman" w:hAnsi="Times New Roman"/>
          <w:b/>
          <w:sz w:val="28"/>
          <w:szCs w:val="32"/>
        </w:rPr>
      </w:pPr>
    </w:p>
    <w:p w:rsidR="00E847A6" w:rsidRDefault="00E847A6" w:rsidP="00E847A6">
      <w:pPr>
        <w:ind w:left="2832" w:hanging="2832"/>
        <w:rPr>
          <w:rFonts w:ascii="Times New Roman" w:hAnsi="Times New Roman"/>
          <w:b/>
        </w:rPr>
      </w:pPr>
      <w:r>
        <w:rPr>
          <w:rFonts w:ascii="Times New Roman" w:hAnsi="Times New Roman"/>
          <w:b/>
        </w:rPr>
        <w:t xml:space="preserve">  A D R E S :</w:t>
      </w:r>
      <w:r>
        <w:rPr>
          <w:rFonts w:ascii="Times New Roman" w:hAnsi="Times New Roman"/>
          <w:b/>
        </w:rPr>
        <w:tab/>
      </w:r>
      <w:r>
        <w:rPr>
          <w:rFonts w:ascii="Times New Roman" w:hAnsi="Times New Roman"/>
          <w:b/>
          <w:sz w:val="24"/>
          <w:szCs w:val="24"/>
        </w:rPr>
        <w:t>Działki numer ewidencyjny: 250/4, 255/1,  obręb geod.  0018-Wola Trzydnicka, gmina Trzydnik Duży (identyfikator: 060707_7.0018)</w:t>
      </w:r>
    </w:p>
    <w:p w:rsidR="00E847A6" w:rsidRDefault="00E847A6" w:rsidP="00E847A6">
      <w:pPr>
        <w:ind w:left="2832" w:hanging="2832"/>
        <w:rPr>
          <w:rFonts w:ascii="Times New Roman" w:hAnsi="Times New Roman"/>
          <w:b/>
          <w:szCs w:val="24"/>
        </w:rPr>
      </w:pPr>
      <w:r>
        <w:rPr>
          <w:rFonts w:ascii="Times New Roman" w:hAnsi="Times New Roman"/>
          <w:b/>
          <w:szCs w:val="24"/>
        </w:rPr>
        <w:t>Kat. obiektu  XXV</w:t>
      </w:r>
    </w:p>
    <w:p w:rsidR="00E847A6" w:rsidRDefault="00E847A6" w:rsidP="00E847A6">
      <w:pPr>
        <w:ind w:left="2832" w:hanging="2832"/>
        <w:rPr>
          <w:rFonts w:ascii="Times New Roman" w:hAnsi="Times New Roman"/>
          <w:b/>
          <w:szCs w:val="24"/>
        </w:rPr>
      </w:pPr>
    </w:p>
    <w:p w:rsidR="00E847A6" w:rsidRDefault="00E847A6" w:rsidP="00E847A6">
      <w:pPr>
        <w:ind w:left="2832" w:hanging="2832"/>
        <w:rPr>
          <w:rFonts w:ascii="Times New Roman" w:hAnsi="Times New Roman"/>
          <w:b/>
          <w:szCs w:val="24"/>
        </w:rPr>
      </w:pPr>
    </w:p>
    <w:p w:rsidR="00E847A6" w:rsidRDefault="00E847A6" w:rsidP="00E847A6">
      <w:pPr>
        <w:ind w:left="2832" w:hanging="2832"/>
        <w:rPr>
          <w:rFonts w:ascii="Times New Roman" w:hAnsi="Times New Roman"/>
          <w:b/>
          <w:szCs w:val="24"/>
        </w:rPr>
      </w:pPr>
    </w:p>
    <w:p w:rsidR="00FD7B54" w:rsidRDefault="00FD7B54" w:rsidP="00FD7B54">
      <w:pPr>
        <w:ind w:left="2832" w:hanging="2832"/>
        <w:jc w:val="left"/>
        <w:rPr>
          <w:rFonts w:ascii="Times New Roman" w:hAnsi="Times New Roman" w:cs="Times New Roman"/>
          <w:b/>
          <w:szCs w:val="24"/>
          <w:lang w:eastAsia="ar-SA"/>
        </w:rPr>
      </w:pPr>
    </w:p>
    <w:p w:rsidR="00FD7B54" w:rsidRDefault="00FD7B54" w:rsidP="00FD7B54">
      <w:pPr>
        <w:ind w:left="2832" w:hanging="2832"/>
        <w:jc w:val="left"/>
        <w:rPr>
          <w:rFonts w:ascii="Times New Roman" w:hAnsi="Times New Roman" w:cs="Times New Roman"/>
          <w:b/>
          <w:szCs w:val="24"/>
          <w:lang w:eastAsia="ar-SA"/>
        </w:rPr>
      </w:pPr>
    </w:p>
    <w:p w:rsidR="00FD7B54" w:rsidRDefault="00FD7B54" w:rsidP="00FD7B54">
      <w:pPr>
        <w:ind w:left="2832" w:hanging="2832"/>
        <w:jc w:val="left"/>
        <w:rPr>
          <w:rFonts w:ascii="Times New Roman" w:hAnsi="Times New Roman" w:cs="Times New Roman"/>
          <w:b/>
          <w:szCs w:val="24"/>
          <w:lang w:eastAsia="ar-SA"/>
        </w:rPr>
      </w:pPr>
    </w:p>
    <w:p w:rsidR="00FD7B54" w:rsidRDefault="00FD7B54" w:rsidP="00FD7B54">
      <w:pPr>
        <w:ind w:left="2832" w:hanging="2832"/>
        <w:jc w:val="left"/>
        <w:rPr>
          <w:rFonts w:ascii="Times New Roman" w:hAnsi="Times New Roman" w:cs="Times New Roman"/>
          <w:b/>
          <w:szCs w:val="24"/>
          <w:lang w:eastAsia="ar-SA"/>
        </w:rPr>
      </w:pPr>
    </w:p>
    <w:p w:rsidR="00FD7B54" w:rsidRDefault="00FD7B54" w:rsidP="00FD7B54">
      <w:pPr>
        <w:ind w:left="2832" w:hanging="2832"/>
        <w:jc w:val="left"/>
        <w:rPr>
          <w:rFonts w:ascii="Times New Roman" w:hAnsi="Times New Roman" w:cs="Times New Roman"/>
          <w:b/>
          <w:szCs w:val="24"/>
          <w:lang w:eastAsia="ar-SA"/>
        </w:rPr>
      </w:pPr>
    </w:p>
    <w:p w:rsidR="00FD7B54" w:rsidRDefault="00FD7B54" w:rsidP="00FD7B54">
      <w:pPr>
        <w:ind w:left="2832" w:hanging="2832"/>
        <w:jc w:val="left"/>
        <w:rPr>
          <w:rFonts w:ascii="Times New Roman" w:hAnsi="Times New Roman" w:cs="Times New Roman"/>
          <w:b/>
          <w:szCs w:val="24"/>
          <w:lang w:eastAsia="ar-SA"/>
        </w:rPr>
      </w:pPr>
    </w:p>
    <w:p w:rsidR="00FD7B54" w:rsidRDefault="00FD7B54" w:rsidP="00FD7B54">
      <w:pPr>
        <w:ind w:left="2832" w:hanging="2832"/>
        <w:jc w:val="left"/>
        <w:rPr>
          <w:rFonts w:ascii="Times New Roman" w:hAnsi="Times New Roman" w:cs="Times New Roman"/>
          <w:b/>
          <w:szCs w:val="20"/>
        </w:rPr>
      </w:pPr>
    </w:p>
    <w:tbl>
      <w:tblPr>
        <w:tblW w:w="0" w:type="auto"/>
        <w:jc w:val="center"/>
        <w:tblLayout w:type="fixed"/>
        <w:tblLook w:val="0000"/>
      </w:tblPr>
      <w:tblGrid>
        <w:gridCol w:w="1839"/>
        <w:gridCol w:w="3307"/>
        <w:gridCol w:w="1602"/>
      </w:tblGrid>
      <w:tr w:rsidR="00E847A6" w:rsidTr="0052158C">
        <w:trPr>
          <w:jc w:val="center"/>
        </w:trPr>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E847A6" w:rsidRDefault="00E847A6" w:rsidP="0052158C">
            <w:pPr>
              <w:jc w:val="center"/>
            </w:pPr>
            <w:r>
              <w:rPr>
                <w:rFonts w:ascii="Times New Roman" w:hAnsi="Times New Roman" w:cs="Times New Roman"/>
                <w:b/>
                <w:szCs w:val="20"/>
              </w:rPr>
              <w:t>Branża</w:t>
            </w:r>
          </w:p>
        </w:tc>
        <w:tc>
          <w:tcPr>
            <w:tcW w:w="3307" w:type="dxa"/>
            <w:tcBorders>
              <w:top w:val="single" w:sz="4" w:space="0" w:color="000000"/>
              <w:left w:val="single" w:sz="4" w:space="0" w:color="000000"/>
              <w:bottom w:val="single" w:sz="4" w:space="0" w:color="000000"/>
              <w:right w:val="single" w:sz="4" w:space="0" w:color="000000"/>
            </w:tcBorders>
            <w:shd w:val="clear" w:color="auto" w:fill="auto"/>
          </w:tcPr>
          <w:p w:rsidR="00E847A6" w:rsidRDefault="00E847A6" w:rsidP="0052158C">
            <w:pPr>
              <w:jc w:val="center"/>
              <w:rPr>
                <w:rFonts w:ascii="Times New Roman" w:hAnsi="Times New Roman" w:cs="Times New Roman"/>
                <w:b/>
                <w:szCs w:val="20"/>
              </w:rPr>
            </w:pPr>
            <w:r>
              <w:rPr>
                <w:rFonts w:ascii="Times New Roman" w:hAnsi="Times New Roman" w:cs="Times New Roman"/>
                <w:b/>
                <w:szCs w:val="20"/>
              </w:rPr>
              <w:t>Imię nazwisko, tytuł zawodowy</w:t>
            </w:r>
          </w:p>
          <w:p w:rsidR="00E847A6" w:rsidRDefault="00E847A6" w:rsidP="0052158C">
            <w:pPr>
              <w:jc w:val="center"/>
            </w:pPr>
            <w:r>
              <w:rPr>
                <w:rFonts w:ascii="Times New Roman" w:hAnsi="Times New Roman" w:cs="Times New Roman"/>
                <w:b/>
                <w:szCs w:val="20"/>
              </w:rPr>
              <w:t>nr uprawnień , podpis</w:t>
            </w:r>
            <w:r>
              <w:rPr>
                <w:rFonts w:ascii="Times New Roman" w:hAnsi="Times New Roman" w:cs="Times New Roman"/>
                <w:b/>
                <w:szCs w:val="20"/>
              </w:rPr>
              <w:br/>
              <w:t xml:space="preserve"> PROJEKTANT</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rsidR="00E847A6" w:rsidRDefault="00E847A6" w:rsidP="0052158C">
            <w:pPr>
              <w:jc w:val="center"/>
            </w:pPr>
            <w:r>
              <w:rPr>
                <w:rFonts w:ascii="Times New Roman" w:hAnsi="Times New Roman" w:cs="Times New Roman"/>
                <w:b/>
                <w:szCs w:val="20"/>
              </w:rPr>
              <w:t>Data opracowania</w:t>
            </w:r>
          </w:p>
        </w:tc>
      </w:tr>
      <w:tr w:rsidR="00E847A6" w:rsidTr="0052158C">
        <w:trPr>
          <w:trHeight w:val="1487"/>
          <w:jc w:val="center"/>
        </w:trPr>
        <w:tc>
          <w:tcPr>
            <w:tcW w:w="1839" w:type="dxa"/>
            <w:tcBorders>
              <w:top w:val="single" w:sz="4" w:space="0" w:color="000000"/>
              <w:left w:val="single" w:sz="4" w:space="0" w:color="000000"/>
              <w:bottom w:val="single" w:sz="4" w:space="0" w:color="000000"/>
              <w:right w:val="single" w:sz="4" w:space="0" w:color="000000"/>
            </w:tcBorders>
            <w:shd w:val="clear" w:color="auto" w:fill="auto"/>
          </w:tcPr>
          <w:p w:rsidR="00E847A6" w:rsidRDefault="00E847A6" w:rsidP="0052158C">
            <w:pPr>
              <w:snapToGrid w:val="0"/>
              <w:jc w:val="center"/>
              <w:rPr>
                <w:rFonts w:ascii="Times New Roman" w:eastAsia="Times New Roman" w:hAnsi="Times New Roman" w:cs="Times New Roman"/>
                <w:b/>
                <w:szCs w:val="20"/>
                <w:lang w:eastAsia="pl-PL"/>
              </w:rPr>
            </w:pPr>
          </w:p>
          <w:p w:rsidR="00E847A6" w:rsidRDefault="00E847A6" w:rsidP="0052158C">
            <w:pPr>
              <w:jc w:val="center"/>
              <w:rPr>
                <w:rFonts w:ascii="Times New Roman" w:hAnsi="Times New Roman" w:cs="Times New Roman"/>
                <w:b/>
                <w:szCs w:val="20"/>
              </w:rPr>
            </w:pPr>
            <w:r>
              <w:rPr>
                <w:rFonts w:ascii="Times New Roman" w:hAnsi="Times New Roman" w:cs="Times New Roman"/>
                <w:b/>
                <w:szCs w:val="20"/>
              </w:rPr>
              <w:t>Drogowa</w:t>
            </w:r>
          </w:p>
          <w:p w:rsidR="00E847A6" w:rsidRDefault="00E847A6" w:rsidP="0052158C">
            <w:pPr>
              <w:jc w:val="center"/>
              <w:rPr>
                <w:rFonts w:ascii="Times New Roman" w:hAnsi="Times New Roman" w:cs="Times New Roman"/>
                <w:b/>
                <w:szCs w:val="20"/>
              </w:rPr>
            </w:pPr>
          </w:p>
        </w:tc>
        <w:tc>
          <w:tcPr>
            <w:tcW w:w="3307" w:type="dxa"/>
            <w:tcBorders>
              <w:top w:val="single" w:sz="4" w:space="0" w:color="000000"/>
              <w:left w:val="single" w:sz="4" w:space="0" w:color="000000"/>
              <w:bottom w:val="single" w:sz="4" w:space="0" w:color="000000"/>
              <w:right w:val="single" w:sz="4" w:space="0" w:color="000000"/>
            </w:tcBorders>
            <w:shd w:val="clear" w:color="auto" w:fill="auto"/>
          </w:tcPr>
          <w:p w:rsidR="00E847A6" w:rsidRPr="00FD7B54" w:rsidRDefault="00E847A6" w:rsidP="00E847A6">
            <w:pPr>
              <w:jc w:val="center"/>
              <w:rPr>
                <w:rFonts w:ascii="Times New Roman" w:eastAsia="Times New Roman" w:hAnsi="Times New Roman" w:cs="Times New Roman"/>
                <w:szCs w:val="20"/>
              </w:rPr>
            </w:pPr>
            <w:r w:rsidRPr="00FD7B54">
              <w:rPr>
                <w:rFonts w:ascii="Times New Roman" w:eastAsia="Times New Roman" w:hAnsi="Times New Roman" w:cs="Times New Roman"/>
                <w:szCs w:val="20"/>
              </w:rPr>
              <w:t>mgr inż. Łukasz Wójtowicz</w:t>
            </w:r>
          </w:p>
          <w:p w:rsidR="00E847A6" w:rsidRPr="00FD7B54" w:rsidRDefault="00E847A6" w:rsidP="00E847A6">
            <w:pPr>
              <w:jc w:val="center"/>
              <w:rPr>
                <w:rFonts w:ascii="Times New Roman" w:eastAsia="Times New Roman" w:hAnsi="Times New Roman" w:cs="Times New Roman"/>
                <w:szCs w:val="20"/>
              </w:rPr>
            </w:pPr>
            <w:r w:rsidRPr="00FD7B54">
              <w:rPr>
                <w:rFonts w:ascii="Times New Roman" w:eastAsia="Times New Roman" w:hAnsi="Times New Roman" w:cs="Times New Roman"/>
                <w:szCs w:val="20"/>
              </w:rPr>
              <w:t xml:space="preserve">upr. bud. nr LUB/0033/PWBD/22 </w:t>
            </w:r>
          </w:p>
          <w:p w:rsidR="00E847A6" w:rsidRPr="00FD7B54" w:rsidRDefault="00E847A6" w:rsidP="00E847A6">
            <w:pPr>
              <w:jc w:val="center"/>
              <w:rPr>
                <w:rFonts w:ascii="Times New Roman" w:hAnsi="Times New Roman" w:cs="Times New Roman"/>
                <w:szCs w:val="20"/>
              </w:rPr>
            </w:pPr>
            <w:r w:rsidRPr="00FD7B54">
              <w:rPr>
                <w:rFonts w:ascii="Times New Roman" w:eastAsia="Times New Roman" w:hAnsi="Times New Roman" w:cs="Times New Roman"/>
                <w:szCs w:val="20"/>
              </w:rPr>
              <w:t xml:space="preserve"> </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rsidR="00E847A6" w:rsidRPr="00FD7B54" w:rsidRDefault="00E847A6" w:rsidP="0052158C">
            <w:pPr>
              <w:jc w:val="center"/>
              <w:rPr>
                <w:rFonts w:ascii="Times New Roman" w:hAnsi="Times New Roman" w:cs="Times New Roman"/>
                <w:szCs w:val="20"/>
              </w:rPr>
            </w:pPr>
            <w:r>
              <w:rPr>
                <w:rFonts w:ascii="Times New Roman" w:hAnsi="Times New Roman" w:cs="Times New Roman"/>
                <w:szCs w:val="20"/>
              </w:rPr>
              <w:t>12.2025</w:t>
            </w:r>
          </w:p>
        </w:tc>
      </w:tr>
    </w:tbl>
    <w:p w:rsidR="000D7500" w:rsidRPr="007078D3" w:rsidRDefault="000D7500" w:rsidP="00ED04E8">
      <w:pPr>
        <w:pStyle w:val="Bezodstpw"/>
        <w:spacing w:line="240" w:lineRule="auto"/>
        <w:rPr>
          <w:rFonts w:ascii="Times New Roman" w:hAnsi="Times New Roman" w:cs="Times New Roman"/>
          <w:sz w:val="20"/>
          <w:szCs w:val="20"/>
          <w:lang w:eastAsia="pl-PL"/>
        </w:rPr>
      </w:pPr>
    </w:p>
    <w:p w:rsidR="000D7500" w:rsidRPr="007078D3" w:rsidRDefault="000D7500" w:rsidP="00ED04E8">
      <w:pPr>
        <w:pStyle w:val="Bezodstpw"/>
        <w:spacing w:line="240" w:lineRule="auto"/>
        <w:rPr>
          <w:rFonts w:ascii="Times New Roman" w:hAnsi="Times New Roman" w:cs="Times New Roman"/>
          <w:sz w:val="20"/>
          <w:szCs w:val="20"/>
          <w:lang w:eastAsia="pl-PL"/>
        </w:rPr>
      </w:pPr>
    </w:p>
    <w:p w:rsidR="000D7500" w:rsidRPr="007078D3" w:rsidRDefault="000D7500" w:rsidP="00ED04E8">
      <w:pPr>
        <w:pStyle w:val="Bezodstpw"/>
        <w:spacing w:line="240" w:lineRule="auto"/>
        <w:rPr>
          <w:rFonts w:ascii="Times New Roman" w:hAnsi="Times New Roman" w:cs="Times New Roman"/>
          <w:sz w:val="20"/>
          <w:szCs w:val="20"/>
          <w:lang w:eastAsia="pl-PL"/>
        </w:rPr>
      </w:pPr>
    </w:p>
    <w:p w:rsidR="000D7500" w:rsidRPr="007078D3" w:rsidRDefault="000D7500" w:rsidP="00ED04E8">
      <w:pPr>
        <w:pStyle w:val="Bezodstpw"/>
        <w:spacing w:line="240" w:lineRule="auto"/>
        <w:rPr>
          <w:rFonts w:ascii="Times New Roman" w:hAnsi="Times New Roman" w:cs="Times New Roman"/>
          <w:sz w:val="20"/>
          <w:szCs w:val="20"/>
          <w:lang w:eastAsia="pl-PL"/>
        </w:rPr>
      </w:pPr>
    </w:p>
    <w:p w:rsidR="000D7500" w:rsidRPr="007078D3" w:rsidRDefault="000D7500" w:rsidP="00ED04E8">
      <w:pPr>
        <w:pStyle w:val="Bezodstpw"/>
        <w:spacing w:line="240" w:lineRule="auto"/>
        <w:rPr>
          <w:rFonts w:ascii="Times New Roman" w:hAnsi="Times New Roman" w:cs="Times New Roman"/>
          <w:sz w:val="20"/>
          <w:szCs w:val="20"/>
          <w:lang w:eastAsia="pl-PL"/>
        </w:rPr>
      </w:pPr>
    </w:p>
    <w:p w:rsidR="000D7500" w:rsidRPr="007078D3" w:rsidRDefault="000D7500" w:rsidP="00ED04E8">
      <w:pPr>
        <w:pStyle w:val="Bezodstpw"/>
        <w:spacing w:line="240" w:lineRule="auto"/>
        <w:rPr>
          <w:rFonts w:ascii="Times New Roman" w:hAnsi="Times New Roman" w:cs="Times New Roman"/>
          <w:sz w:val="20"/>
          <w:szCs w:val="20"/>
          <w:lang w:eastAsia="pl-PL"/>
        </w:rPr>
      </w:pPr>
    </w:p>
    <w:p w:rsidR="000D7500" w:rsidRPr="007078D3" w:rsidRDefault="000D7500" w:rsidP="00ED04E8">
      <w:pPr>
        <w:pStyle w:val="Bezodstpw"/>
        <w:spacing w:line="240" w:lineRule="auto"/>
        <w:rPr>
          <w:rFonts w:ascii="Times New Roman" w:hAnsi="Times New Roman" w:cs="Times New Roman"/>
          <w:sz w:val="20"/>
          <w:szCs w:val="20"/>
          <w:lang w:eastAsia="pl-PL"/>
        </w:rPr>
      </w:pPr>
    </w:p>
    <w:p w:rsidR="000D7500" w:rsidRPr="007078D3" w:rsidRDefault="000D7500" w:rsidP="00ED04E8">
      <w:pPr>
        <w:pStyle w:val="Bezodstpw"/>
        <w:spacing w:line="240" w:lineRule="auto"/>
        <w:rPr>
          <w:rFonts w:ascii="Times New Roman" w:hAnsi="Times New Roman" w:cs="Times New Roman"/>
          <w:sz w:val="20"/>
          <w:szCs w:val="20"/>
          <w:lang w:eastAsia="pl-PL"/>
        </w:rPr>
      </w:pPr>
    </w:p>
    <w:p w:rsidR="000D7500" w:rsidRDefault="000D7500"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Default="00FD7B54" w:rsidP="00ED04E8">
      <w:pPr>
        <w:pStyle w:val="Bezodstpw"/>
        <w:spacing w:line="240" w:lineRule="auto"/>
        <w:rPr>
          <w:rFonts w:ascii="Times New Roman" w:hAnsi="Times New Roman" w:cs="Times New Roman"/>
          <w:sz w:val="20"/>
          <w:szCs w:val="20"/>
          <w:lang w:eastAsia="pl-PL"/>
        </w:rPr>
      </w:pPr>
    </w:p>
    <w:p w:rsidR="00FD7B54" w:rsidRPr="007078D3" w:rsidRDefault="00FD7B54" w:rsidP="00ED04E8">
      <w:pPr>
        <w:pStyle w:val="Bezodstpw"/>
        <w:spacing w:line="240" w:lineRule="auto"/>
        <w:rPr>
          <w:rFonts w:ascii="Times New Roman" w:hAnsi="Times New Roman" w:cs="Times New Roman"/>
          <w:sz w:val="20"/>
          <w:szCs w:val="20"/>
          <w:lang w:eastAsia="pl-PL"/>
        </w:rPr>
      </w:pPr>
    </w:p>
    <w:p w:rsidR="00BE031A" w:rsidRPr="007078D3" w:rsidRDefault="00BD752A" w:rsidP="00ED04E8">
      <w:pPr>
        <w:pStyle w:val="Bezodstpw"/>
        <w:spacing w:line="240" w:lineRule="auto"/>
        <w:rPr>
          <w:rFonts w:ascii="Times New Roman" w:hAnsi="Times New Roman" w:cs="Times New Roman"/>
          <w:sz w:val="20"/>
          <w:szCs w:val="20"/>
          <w:lang w:eastAsia="pl-PL"/>
        </w:rPr>
      </w:pPr>
      <w:bookmarkStart w:id="0" w:name="_Toc221170384"/>
      <w:r w:rsidRPr="007078D3">
        <w:rPr>
          <w:rFonts w:ascii="Times New Roman" w:hAnsi="Times New Roman" w:cs="Times New Roman"/>
          <w:sz w:val="20"/>
          <w:szCs w:val="20"/>
          <w:lang w:eastAsia="pl-PL"/>
        </w:rPr>
        <w:t>SPIS TREŚCI</w:t>
      </w:r>
      <w:bookmarkEnd w:id="0"/>
    </w:p>
    <w:bookmarkStart w:id="1" w:name="_Hlk505774150"/>
    <w:p w:rsidR="00E847A6" w:rsidRDefault="00B63ECE">
      <w:pPr>
        <w:pStyle w:val="Spistreci1"/>
        <w:rPr>
          <w:rFonts w:asciiTheme="minorHAnsi" w:eastAsiaTheme="minorEastAsia" w:hAnsiTheme="minorHAnsi"/>
          <w:sz w:val="22"/>
        </w:rPr>
      </w:pPr>
      <w:r w:rsidRPr="00B63ECE">
        <w:rPr>
          <w:rFonts w:ascii="Times New Roman" w:hAnsi="Times New Roman" w:cs="Times New Roman"/>
          <w:szCs w:val="20"/>
        </w:rPr>
        <w:fldChar w:fldCharType="begin"/>
      </w:r>
      <w:r w:rsidR="00BE031A" w:rsidRPr="007078D3">
        <w:rPr>
          <w:rFonts w:ascii="Times New Roman" w:hAnsi="Times New Roman" w:cs="Times New Roman"/>
          <w:szCs w:val="20"/>
        </w:rPr>
        <w:instrText xml:space="preserve"> TOC \h \z \t "Bez odstępów;1" </w:instrText>
      </w:r>
      <w:r w:rsidRPr="00B63ECE">
        <w:rPr>
          <w:rFonts w:ascii="Times New Roman" w:hAnsi="Times New Roman" w:cs="Times New Roman"/>
          <w:szCs w:val="20"/>
        </w:rPr>
        <w:fldChar w:fldCharType="separate"/>
      </w:r>
      <w:hyperlink w:anchor="_Toc221170384" w:history="1">
        <w:r w:rsidR="00E847A6" w:rsidRPr="00E25668">
          <w:rPr>
            <w:rStyle w:val="Hipercze"/>
            <w:rFonts w:ascii="Times New Roman" w:hAnsi="Times New Roman" w:cs="Times New Roman"/>
          </w:rPr>
          <w:t>SPIS TREŚCI</w:t>
        </w:r>
        <w:r w:rsidR="00E847A6">
          <w:rPr>
            <w:webHidden/>
          </w:rPr>
          <w:tab/>
        </w:r>
        <w:r w:rsidR="00E847A6">
          <w:rPr>
            <w:webHidden/>
          </w:rPr>
          <w:fldChar w:fldCharType="begin"/>
        </w:r>
        <w:r w:rsidR="00E847A6">
          <w:rPr>
            <w:webHidden/>
          </w:rPr>
          <w:instrText xml:space="preserve"> PAGEREF _Toc221170384 \h </w:instrText>
        </w:r>
        <w:r w:rsidR="00E847A6">
          <w:rPr>
            <w:webHidden/>
          </w:rPr>
        </w:r>
        <w:r w:rsidR="00E847A6">
          <w:rPr>
            <w:webHidden/>
          </w:rPr>
          <w:fldChar w:fldCharType="separate"/>
        </w:r>
        <w:r w:rsidR="00BE50C0">
          <w:rPr>
            <w:webHidden/>
          </w:rPr>
          <w:t>3</w:t>
        </w:r>
        <w:r w:rsidR="00E847A6">
          <w:rPr>
            <w:webHidden/>
          </w:rPr>
          <w:fldChar w:fldCharType="end"/>
        </w:r>
      </w:hyperlink>
    </w:p>
    <w:p w:rsidR="00E847A6" w:rsidRDefault="00E847A6">
      <w:pPr>
        <w:pStyle w:val="Spistreci1"/>
        <w:rPr>
          <w:rFonts w:asciiTheme="minorHAnsi" w:eastAsiaTheme="minorEastAsia" w:hAnsiTheme="minorHAnsi"/>
          <w:sz w:val="22"/>
        </w:rPr>
      </w:pPr>
      <w:hyperlink w:anchor="_Toc221170385" w:history="1">
        <w:r w:rsidRPr="00E25668">
          <w:rPr>
            <w:rStyle w:val="Hipercze"/>
            <w:rFonts w:ascii="Times New Roman" w:hAnsi="Times New Roman" w:cs="Times New Roman"/>
          </w:rPr>
          <w:t>D-00.00.00 WYMAGANIA OGÓLNE</w:t>
        </w:r>
        <w:r>
          <w:rPr>
            <w:webHidden/>
          </w:rPr>
          <w:tab/>
        </w:r>
        <w:r>
          <w:rPr>
            <w:webHidden/>
          </w:rPr>
          <w:fldChar w:fldCharType="begin"/>
        </w:r>
        <w:r>
          <w:rPr>
            <w:webHidden/>
          </w:rPr>
          <w:instrText xml:space="preserve"> PAGEREF _Toc221170385 \h </w:instrText>
        </w:r>
        <w:r>
          <w:rPr>
            <w:webHidden/>
          </w:rPr>
        </w:r>
        <w:r>
          <w:rPr>
            <w:webHidden/>
          </w:rPr>
          <w:fldChar w:fldCharType="separate"/>
        </w:r>
        <w:r w:rsidR="00BE50C0">
          <w:rPr>
            <w:webHidden/>
          </w:rPr>
          <w:t>5</w:t>
        </w:r>
        <w:r>
          <w:rPr>
            <w:webHidden/>
          </w:rPr>
          <w:fldChar w:fldCharType="end"/>
        </w:r>
      </w:hyperlink>
    </w:p>
    <w:p w:rsidR="00E847A6" w:rsidRDefault="00E847A6">
      <w:pPr>
        <w:pStyle w:val="Spistreci1"/>
        <w:rPr>
          <w:rFonts w:asciiTheme="minorHAnsi" w:eastAsiaTheme="minorEastAsia" w:hAnsiTheme="minorHAnsi"/>
          <w:sz w:val="22"/>
        </w:rPr>
      </w:pPr>
      <w:hyperlink w:anchor="_Toc221170386" w:history="1">
        <w:r w:rsidRPr="00E25668">
          <w:rPr>
            <w:rStyle w:val="Hipercze"/>
            <w:rFonts w:ascii="Times New Roman" w:hAnsi="Times New Roman" w:cs="Times New Roman"/>
          </w:rPr>
          <w:t>D –  01.01.01a ODTWORZENIE  TRASY  I  PUNKTÓW WYSOKOŚCIOWYCH  ORAZ  SPORZĄDZENIE INWENTARYZACJI  POWYKONAWCZEJ  DROGI</w:t>
        </w:r>
        <w:r>
          <w:rPr>
            <w:webHidden/>
          </w:rPr>
          <w:tab/>
        </w:r>
        <w:r>
          <w:rPr>
            <w:webHidden/>
          </w:rPr>
          <w:fldChar w:fldCharType="begin"/>
        </w:r>
        <w:r>
          <w:rPr>
            <w:webHidden/>
          </w:rPr>
          <w:instrText xml:space="preserve"> PAGEREF _Toc221170386 \h </w:instrText>
        </w:r>
        <w:r>
          <w:rPr>
            <w:webHidden/>
          </w:rPr>
        </w:r>
        <w:r>
          <w:rPr>
            <w:webHidden/>
          </w:rPr>
          <w:fldChar w:fldCharType="separate"/>
        </w:r>
        <w:r w:rsidR="00BE50C0">
          <w:rPr>
            <w:webHidden/>
          </w:rPr>
          <w:t>19</w:t>
        </w:r>
        <w:r>
          <w:rPr>
            <w:webHidden/>
          </w:rPr>
          <w:fldChar w:fldCharType="end"/>
        </w:r>
      </w:hyperlink>
    </w:p>
    <w:p w:rsidR="00E847A6" w:rsidRDefault="00E847A6">
      <w:pPr>
        <w:pStyle w:val="Spistreci1"/>
        <w:rPr>
          <w:rFonts w:asciiTheme="minorHAnsi" w:eastAsiaTheme="minorEastAsia" w:hAnsiTheme="minorHAnsi"/>
          <w:sz w:val="22"/>
        </w:rPr>
      </w:pPr>
      <w:hyperlink w:anchor="_Toc221170387" w:history="1">
        <w:r w:rsidRPr="00E25668">
          <w:rPr>
            <w:rStyle w:val="Hipercze"/>
            <w:rFonts w:ascii="Times New Roman" w:hAnsi="Times New Roman" w:cs="Times New Roman"/>
          </w:rPr>
          <w:t xml:space="preserve">D - 02.00.01 </w:t>
        </w:r>
        <w:r w:rsidRPr="00E25668">
          <w:rPr>
            <w:rStyle w:val="Hipercze"/>
            <w:rFonts w:ascii="Times New Roman" w:hAnsi="Times New Roman" w:cs="Times New Roman"/>
            <w:caps/>
          </w:rPr>
          <w:t>ROBOTY  ZIEMNE.  WYMAGANIA  OGÓLNE</w:t>
        </w:r>
        <w:r>
          <w:rPr>
            <w:webHidden/>
          </w:rPr>
          <w:tab/>
        </w:r>
        <w:r>
          <w:rPr>
            <w:webHidden/>
          </w:rPr>
          <w:fldChar w:fldCharType="begin"/>
        </w:r>
        <w:r>
          <w:rPr>
            <w:webHidden/>
          </w:rPr>
          <w:instrText xml:space="preserve"> PAGEREF _Toc221170387 \h </w:instrText>
        </w:r>
        <w:r>
          <w:rPr>
            <w:webHidden/>
          </w:rPr>
        </w:r>
        <w:r>
          <w:rPr>
            <w:webHidden/>
          </w:rPr>
          <w:fldChar w:fldCharType="separate"/>
        </w:r>
        <w:r w:rsidR="00BE50C0">
          <w:rPr>
            <w:webHidden/>
          </w:rPr>
          <w:t>23</w:t>
        </w:r>
        <w:r>
          <w:rPr>
            <w:webHidden/>
          </w:rPr>
          <w:fldChar w:fldCharType="end"/>
        </w:r>
      </w:hyperlink>
    </w:p>
    <w:p w:rsidR="00E847A6" w:rsidRDefault="00E847A6">
      <w:pPr>
        <w:pStyle w:val="Spistreci1"/>
        <w:rPr>
          <w:rFonts w:asciiTheme="minorHAnsi" w:eastAsiaTheme="minorEastAsia" w:hAnsiTheme="minorHAnsi"/>
          <w:sz w:val="22"/>
        </w:rPr>
      </w:pPr>
      <w:hyperlink w:anchor="_Toc221170388" w:history="1">
        <w:r w:rsidRPr="00E25668">
          <w:rPr>
            <w:rStyle w:val="Hipercze"/>
            <w:rFonts w:ascii="Times New Roman" w:hAnsi="Times New Roman" w:cs="Times New Roman"/>
          </w:rPr>
          <w:t>D-02.01.01 WYKONANIE  WYKOPÓW W  GRUNTACH   NIESKALISTYCH</w:t>
        </w:r>
        <w:r>
          <w:rPr>
            <w:webHidden/>
          </w:rPr>
          <w:tab/>
        </w:r>
        <w:r>
          <w:rPr>
            <w:webHidden/>
          </w:rPr>
          <w:fldChar w:fldCharType="begin"/>
        </w:r>
        <w:r>
          <w:rPr>
            <w:webHidden/>
          </w:rPr>
          <w:instrText xml:space="preserve"> PAGEREF _Toc221170388 \h </w:instrText>
        </w:r>
        <w:r>
          <w:rPr>
            <w:webHidden/>
          </w:rPr>
        </w:r>
        <w:r>
          <w:rPr>
            <w:webHidden/>
          </w:rPr>
          <w:fldChar w:fldCharType="separate"/>
        </w:r>
        <w:r w:rsidR="00BE50C0">
          <w:rPr>
            <w:webHidden/>
          </w:rPr>
          <w:t>37</w:t>
        </w:r>
        <w:r>
          <w:rPr>
            <w:webHidden/>
          </w:rPr>
          <w:fldChar w:fldCharType="end"/>
        </w:r>
      </w:hyperlink>
    </w:p>
    <w:p w:rsidR="00E847A6" w:rsidRDefault="00E847A6">
      <w:pPr>
        <w:pStyle w:val="Spistreci1"/>
        <w:rPr>
          <w:rFonts w:asciiTheme="minorHAnsi" w:eastAsiaTheme="minorEastAsia" w:hAnsiTheme="minorHAnsi"/>
          <w:sz w:val="22"/>
        </w:rPr>
      </w:pPr>
      <w:hyperlink w:anchor="_Toc221170389" w:history="1">
        <w:r w:rsidRPr="00E25668">
          <w:rPr>
            <w:rStyle w:val="Hipercze"/>
            <w:rFonts w:ascii="Times New Roman" w:hAnsi="Times New Roman" w:cs="Times New Roman"/>
          </w:rPr>
          <w:t>D-04.01.01 KORYTO  WRAZ  Z  PROFILOWANIEM I  ZAGĘSZCZANIEM  PODŁOŻA</w:t>
        </w:r>
        <w:r>
          <w:rPr>
            <w:webHidden/>
          </w:rPr>
          <w:tab/>
        </w:r>
        <w:r>
          <w:rPr>
            <w:webHidden/>
          </w:rPr>
          <w:fldChar w:fldCharType="begin"/>
        </w:r>
        <w:r>
          <w:rPr>
            <w:webHidden/>
          </w:rPr>
          <w:instrText xml:space="preserve"> PAGEREF _Toc221170389 \h </w:instrText>
        </w:r>
        <w:r>
          <w:rPr>
            <w:webHidden/>
          </w:rPr>
        </w:r>
        <w:r>
          <w:rPr>
            <w:webHidden/>
          </w:rPr>
          <w:fldChar w:fldCharType="separate"/>
        </w:r>
        <w:r w:rsidR="00BE50C0">
          <w:rPr>
            <w:webHidden/>
          </w:rPr>
          <w:t>41</w:t>
        </w:r>
        <w:r>
          <w:rPr>
            <w:webHidden/>
          </w:rPr>
          <w:fldChar w:fldCharType="end"/>
        </w:r>
      </w:hyperlink>
    </w:p>
    <w:p w:rsidR="00E847A6" w:rsidRDefault="00E847A6">
      <w:pPr>
        <w:pStyle w:val="Spistreci1"/>
        <w:rPr>
          <w:rFonts w:asciiTheme="minorHAnsi" w:eastAsiaTheme="minorEastAsia" w:hAnsiTheme="minorHAnsi"/>
          <w:sz w:val="22"/>
        </w:rPr>
      </w:pPr>
      <w:hyperlink w:anchor="_Toc221170390" w:history="1">
        <w:r w:rsidRPr="00E25668">
          <w:rPr>
            <w:rStyle w:val="Hipercze"/>
            <w:rFonts w:ascii="Times New Roman" w:hAnsi="Times New Roman" w:cs="Times New Roman"/>
          </w:rPr>
          <w:t>D-04.04.02a PODBUDOWA  POMOCNICZA Z  MIESZANKI  KRUSZYWA  NIEZWIĄZANEGO</w:t>
        </w:r>
        <w:r>
          <w:rPr>
            <w:webHidden/>
          </w:rPr>
          <w:tab/>
        </w:r>
        <w:r>
          <w:rPr>
            <w:webHidden/>
          </w:rPr>
          <w:fldChar w:fldCharType="begin"/>
        </w:r>
        <w:r>
          <w:rPr>
            <w:webHidden/>
          </w:rPr>
          <w:instrText xml:space="preserve"> PAGEREF _Toc221170390 \h </w:instrText>
        </w:r>
        <w:r>
          <w:rPr>
            <w:webHidden/>
          </w:rPr>
        </w:r>
        <w:r>
          <w:rPr>
            <w:webHidden/>
          </w:rPr>
          <w:fldChar w:fldCharType="separate"/>
        </w:r>
        <w:r w:rsidR="00BE50C0">
          <w:rPr>
            <w:webHidden/>
          </w:rPr>
          <w:t>45</w:t>
        </w:r>
        <w:r>
          <w:rPr>
            <w:webHidden/>
          </w:rPr>
          <w:fldChar w:fldCharType="end"/>
        </w:r>
      </w:hyperlink>
    </w:p>
    <w:p w:rsidR="00E847A6" w:rsidRDefault="00E847A6">
      <w:pPr>
        <w:pStyle w:val="Spistreci1"/>
        <w:rPr>
          <w:rFonts w:asciiTheme="minorHAnsi" w:eastAsiaTheme="minorEastAsia" w:hAnsiTheme="minorHAnsi"/>
          <w:sz w:val="22"/>
        </w:rPr>
      </w:pPr>
      <w:hyperlink w:anchor="_Toc221170391" w:history="1">
        <w:r w:rsidRPr="00E25668">
          <w:rPr>
            <w:rStyle w:val="Hipercze"/>
            <w:rFonts w:ascii="Times New Roman" w:hAnsi="Times New Roman" w:cs="Times New Roman"/>
          </w:rPr>
          <w:t>D – 04.04.02b PODBUDOWA  ZASADNICZA Z  MIESZANKI  KRUSZYWA  NIEZWIĄZANEGO</w:t>
        </w:r>
        <w:r>
          <w:rPr>
            <w:webHidden/>
          </w:rPr>
          <w:tab/>
        </w:r>
        <w:r>
          <w:rPr>
            <w:webHidden/>
          </w:rPr>
          <w:fldChar w:fldCharType="begin"/>
        </w:r>
        <w:r>
          <w:rPr>
            <w:webHidden/>
          </w:rPr>
          <w:instrText xml:space="preserve"> PAGEREF _Toc221170391 \h </w:instrText>
        </w:r>
        <w:r>
          <w:rPr>
            <w:webHidden/>
          </w:rPr>
        </w:r>
        <w:r>
          <w:rPr>
            <w:webHidden/>
          </w:rPr>
          <w:fldChar w:fldCharType="separate"/>
        </w:r>
        <w:r w:rsidR="00BE50C0">
          <w:rPr>
            <w:webHidden/>
          </w:rPr>
          <w:t>61</w:t>
        </w:r>
        <w:r>
          <w:rPr>
            <w:webHidden/>
          </w:rPr>
          <w:fldChar w:fldCharType="end"/>
        </w:r>
      </w:hyperlink>
    </w:p>
    <w:p w:rsidR="00E847A6" w:rsidRDefault="00E847A6">
      <w:pPr>
        <w:pStyle w:val="Spistreci1"/>
        <w:rPr>
          <w:rFonts w:asciiTheme="minorHAnsi" w:eastAsiaTheme="minorEastAsia" w:hAnsiTheme="minorHAnsi"/>
          <w:sz w:val="22"/>
        </w:rPr>
      </w:pPr>
      <w:hyperlink w:anchor="_Toc221170392" w:history="1">
        <w:r w:rsidRPr="00E25668">
          <w:rPr>
            <w:rStyle w:val="Hipercze"/>
            <w:rFonts w:ascii="Times New Roman" w:hAnsi="Times New Roman" w:cs="Times New Roman"/>
          </w:rPr>
          <w:t>D - 05.03.23a NAWIERZCHNIA  Z  BETONOWEJ  KOSTKI BRUKOWEJ  DLA  DRÓG  I  ULIC  ORAZ  PLACÓW  I  CHODNIKÓW</w:t>
        </w:r>
        <w:r>
          <w:rPr>
            <w:webHidden/>
          </w:rPr>
          <w:tab/>
        </w:r>
        <w:r>
          <w:rPr>
            <w:webHidden/>
          </w:rPr>
          <w:fldChar w:fldCharType="begin"/>
        </w:r>
        <w:r>
          <w:rPr>
            <w:webHidden/>
          </w:rPr>
          <w:instrText xml:space="preserve"> PAGEREF _Toc221170392 \h </w:instrText>
        </w:r>
        <w:r>
          <w:rPr>
            <w:webHidden/>
          </w:rPr>
        </w:r>
        <w:r>
          <w:rPr>
            <w:webHidden/>
          </w:rPr>
          <w:fldChar w:fldCharType="separate"/>
        </w:r>
        <w:r w:rsidR="00BE50C0">
          <w:rPr>
            <w:webHidden/>
          </w:rPr>
          <w:t>75</w:t>
        </w:r>
        <w:r>
          <w:rPr>
            <w:webHidden/>
          </w:rPr>
          <w:fldChar w:fldCharType="end"/>
        </w:r>
      </w:hyperlink>
    </w:p>
    <w:p w:rsidR="00E847A6" w:rsidRDefault="00E847A6">
      <w:pPr>
        <w:pStyle w:val="Spistreci1"/>
        <w:rPr>
          <w:rFonts w:asciiTheme="minorHAnsi" w:eastAsiaTheme="minorEastAsia" w:hAnsiTheme="minorHAnsi"/>
          <w:sz w:val="22"/>
        </w:rPr>
      </w:pPr>
      <w:hyperlink w:anchor="_Toc221170393" w:history="1">
        <w:r w:rsidRPr="00E25668">
          <w:rPr>
            <w:rStyle w:val="Hipercze"/>
            <w:rFonts w:ascii="Times New Roman" w:hAnsi="Times New Roman" w:cs="Times New Roman"/>
          </w:rPr>
          <w:t>D-07.01.01a OZNAKOWANIE  POZIOME</w:t>
        </w:r>
        <w:r>
          <w:rPr>
            <w:webHidden/>
          </w:rPr>
          <w:tab/>
        </w:r>
        <w:r>
          <w:rPr>
            <w:webHidden/>
          </w:rPr>
          <w:fldChar w:fldCharType="begin"/>
        </w:r>
        <w:r>
          <w:rPr>
            <w:webHidden/>
          </w:rPr>
          <w:instrText xml:space="preserve"> PAGEREF _Toc221170393 \h </w:instrText>
        </w:r>
        <w:r>
          <w:rPr>
            <w:webHidden/>
          </w:rPr>
        </w:r>
        <w:r>
          <w:rPr>
            <w:webHidden/>
          </w:rPr>
          <w:fldChar w:fldCharType="separate"/>
        </w:r>
        <w:r w:rsidR="00BE50C0">
          <w:rPr>
            <w:webHidden/>
          </w:rPr>
          <w:t>91</w:t>
        </w:r>
        <w:r>
          <w:rPr>
            <w:webHidden/>
          </w:rPr>
          <w:fldChar w:fldCharType="end"/>
        </w:r>
      </w:hyperlink>
    </w:p>
    <w:p w:rsidR="00E847A6" w:rsidRDefault="00E847A6">
      <w:pPr>
        <w:pStyle w:val="Spistreci1"/>
        <w:rPr>
          <w:rFonts w:asciiTheme="minorHAnsi" w:eastAsiaTheme="minorEastAsia" w:hAnsiTheme="minorHAnsi"/>
          <w:sz w:val="22"/>
        </w:rPr>
      </w:pPr>
      <w:hyperlink w:anchor="_Toc221170394" w:history="1">
        <w:r w:rsidRPr="00E25668">
          <w:rPr>
            <w:rStyle w:val="Hipercze"/>
            <w:rFonts w:ascii="Times New Roman" w:hAnsi="Times New Roman" w:cs="Times New Roman"/>
          </w:rPr>
          <w:t>D-07.02.01a OZNAKOWANIE  PIONOWE</w:t>
        </w:r>
        <w:r>
          <w:rPr>
            <w:webHidden/>
          </w:rPr>
          <w:tab/>
        </w:r>
        <w:r>
          <w:rPr>
            <w:webHidden/>
          </w:rPr>
          <w:fldChar w:fldCharType="begin"/>
        </w:r>
        <w:r>
          <w:rPr>
            <w:webHidden/>
          </w:rPr>
          <w:instrText xml:space="preserve"> PAGEREF _Toc221170394 \h </w:instrText>
        </w:r>
        <w:r>
          <w:rPr>
            <w:webHidden/>
          </w:rPr>
        </w:r>
        <w:r>
          <w:rPr>
            <w:webHidden/>
          </w:rPr>
          <w:fldChar w:fldCharType="separate"/>
        </w:r>
        <w:r w:rsidR="00BE50C0">
          <w:rPr>
            <w:webHidden/>
          </w:rPr>
          <w:t>113</w:t>
        </w:r>
        <w:r>
          <w:rPr>
            <w:webHidden/>
          </w:rPr>
          <w:fldChar w:fldCharType="end"/>
        </w:r>
      </w:hyperlink>
    </w:p>
    <w:p w:rsidR="00E847A6" w:rsidRDefault="00E847A6">
      <w:pPr>
        <w:pStyle w:val="Spistreci1"/>
        <w:rPr>
          <w:rFonts w:asciiTheme="minorHAnsi" w:eastAsiaTheme="minorEastAsia" w:hAnsiTheme="minorHAnsi"/>
          <w:sz w:val="22"/>
        </w:rPr>
      </w:pPr>
      <w:hyperlink w:anchor="_Toc221170395" w:history="1">
        <w:r w:rsidRPr="00E25668">
          <w:rPr>
            <w:rStyle w:val="Hipercze"/>
            <w:rFonts w:ascii="Times New Roman" w:hAnsi="Times New Roman" w:cs="Times New Roman"/>
          </w:rPr>
          <w:t>D-08.01.01b USTAWIENIE  KRAWĘŻNIKÓW  BETONOWYCH</w:t>
        </w:r>
        <w:r>
          <w:rPr>
            <w:webHidden/>
          </w:rPr>
          <w:tab/>
        </w:r>
        <w:r>
          <w:rPr>
            <w:webHidden/>
          </w:rPr>
          <w:fldChar w:fldCharType="begin"/>
        </w:r>
        <w:r>
          <w:rPr>
            <w:webHidden/>
          </w:rPr>
          <w:instrText xml:space="preserve"> PAGEREF _Toc221170395 \h </w:instrText>
        </w:r>
        <w:r>
          <w:rPr>
            <w:webHidden/>
          </w:rPr>
        </w:r>
        <w:r>
          <w:rPr>
            <w:webHidden/>
          </w:rPr>
          <w:fldChar w:fldCharType="separate"/>
        </w:r>
        <w:r w:rsidR="00BE50C0">
          <w:rPr>
            <w:webHidden/>
          </w:rPr>
          <w:t>129</w:t>
        </w:r>
        <w:r>
          <w:rPr>
            <w:webHidden/>
          </w:rPr>
          <w:fldChar w:fldCharType="end"/>
        </w:r>
      </w:hyperlink>
    </w:p>
    <w:p w:rsidR="00E847A6" w:rsidRDefault="00E847A6">
      <w:pPr>
        <w:pStyle w:val="Spistreci1"/>
        <w:rPr>
          <w:rFonts w:asciiTheme="minorHAnsi" w:eastAsiaTheme="minorEastAsia" w:hAnsiTheme="minorHAnsi"/>
          <w:sz w:val="22"/>
        </w:rPr>
      </w:pPr>
      <w:hyperlink w:anchor="_Toc221170396" w:history="1">
        <w:r w:rsidRPr="00E25668">
          <w:rPr>
            <w:rStyle w:val="Hipercze"/>
            <w:rFonts w:ascii="Times New Roman" w:hAnsi="Times New Roman" w:cs="Times New Roman"/>
          </w:rPr>
          <w:t>D-08.03.01 BETONOWE  OBRZEŻA  CHODNIKOWE</w:t>
        </w:r>
        <w:r>
          <w:rPr>
            <w:webHidden/>
          </w:rPr>
          <w:tab/>
        </w:r>
        <w:r>
          <w:rPr>
            <w:webHidden/>
          </w:rPr>
          <w:fldChar w:fldCharType="begin"/>
        </w:r>
        <w:r>
          <w:rPr>
            <w:webHidden/>
          </w:rPr>
          <w:instrText xml:space="preserve"> PAGEREF _Toc221170396 \h </w:instrText>
        </w:r>
        <w:r>
          <w:rPr>
            <w:webHidden/>
          </w:rPr>
        </w:r>
        <w:r>
          <w:rPr>
            <w:webHidden/>
          </w:rPr>
          <w:fldChar w:fldCharType="separate"/>
        </w:r>
        <w:r w:rsidR="00BE50C0">
          <w:rPr>
            <w:webHidden/>
          </w:rPr>
          <w:t>141</w:t>
        </w:r>
        <w:r>
          <w:rPr>
            <w:webHidden/>
          </w:rPr>
          <w:fldChar w:fldCharType="end"/>
        </w:r>
      </w:hyperlink>
    </w:p>
    <w:p w:rsidR="00BE031A" w:rsidRPr="007078D3" w:rsidRDefault="00B63ECE" w:rsidP="00ED04E8">
      <w:pPr>
        <w:pStyle w:val="Bezodstpw"/>
        <w:spacing w:line="240" w:lineRule="auto"/>
        <w:rPr>
          <w:rFonts w:ascii="Times New Roman" w:hAnsi="Times New Roman" w:cs="Times New Roman"/>
          <w:sz w:val="20"/>
          <w:szCs w:val="20"/>
          <w:lang w:eastAsia="pl-PL"/>
        </w:rPr>
      </w:pPr>
      <w:r w:rsidRPr="007078D3">
        <w:rPr>
          <w:rFonts w:ascii="Times New Roman" w:hAnsi="Times New Roman" w:cs="Times New Roman"/>
          <w:sz w:val="20"/>
          <w:szCs w:val="20"/>
          <w:lang w:eastAsia="pl-PL"/>
        </w:rPr>
        <w:fldChar w:fldCharType="end"/>
      </w:r>
      <w:bookmarkEnd w:id="1"/>
    </w:p>
    <w:p w:rsidR="00BE031A" w:rsidRPr="007078D3" w:rsidRDefault="00BE031A" w:rsidP="00ED04E8">
      <w:pPr>
        <w:pStyle w:val="Bezodstpw"/>
        <w:spacing w:line="240" w:lineRule="auto"/>
        <w:rPr>
          <w:rFonts w:ascii="Times New Roman" w:hAnsi="Times New Roman" w:cs="Times New Roman"/>
          <w:sz w:val="20"/>
          <w:szCs w:val="20"/>
          <w:lang w:eastAsia="pl-PL"/>
        </w:rPr>
      </w:pPr>
    </w:p>
    <w:p w:rsidR="00BE031A" w:rsidRPr="007078D3" w:rsidRDefault="00BE031A"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855643" w:rsidRPr="007078D3" w:rsidRDefault="00855643" w:rsidP="00ED04E8">
      <w:pPr>
        <w:pStyle w:val="Bezodstpw"/>
        <w:spacing w:line="240" w:lineRule="auto"/>
        <w:rPr>
          <w:rFonts w:ascii="Times New Roman" w:hAnsi="Times New Roman" w:cs="Times New Roman"/>
          <w:sz w:val="20"/>
          <w:szCs w:val="20"/>
          <w:lang w:eastAsia="pl-PL"/>
        </w:rPr>
      </w:pPr>
    </w:p>
    <w:p w:rsidR="00385A32" w:rsidRPr="007078D3" w:rsidRDefault="00385A32"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0D7500" w:rsidRPr="007078D3" w:rsidRDefault="000D7500" w:rsidP="00ED04E8">
      <w:pPr>
        <w:pStyle w:val="Bezodstpw"/>
        <w:spacing w:line="240" w:lineRule="auto"/>
        <w:rPr>
          <w:rFonts w:ascii="Times New Roman" w:hAnsi="Times New Roman" w:cs="Times New Roman"/>
          <w:sz w:val="20"/>
          <w:szCs w:val="20"/>
          <w:lang w:eastAsia="pl-PL"/>
        </w:rPr>
      </w:pPr>
    </w:p>
    <w:p w:rsidR="00E83BFB" w:rsidRPr="007078D3" w:rsidRDefault="00E83BFB" w:rsidP="00ED04E8">
      <w:pPr>
        <w:pStyle w:val="Bezodstpw"/>
        <w:spacing w:line="240" w:lineRule="auto"/>
        <w:rPr>
          <w:rFonts w:ascii="Times New Roman" w:hAnsi="Times New Roman" w:cs="Times New Roman"/>
          <w:sz w:val="20"/>
          <w:szCs w:val="20"/>
          <w:lang w:eastAsia="pl-PL"/>
        </w:rPr>
      </w:pPr>
    </w:p>
    <w:p w:rsidR="000D7500" w:rsidRPr="007078D3" w:rsidRDefault="000D7500" w:rsidP="00ED04E8">
      <w:pPr>
        <w:pStyle w:val="Bezodstpw"/>
        <w:spacing w:line="240" w:lineRule="auto"/>
        <w:rPr>
          <w:rFonts w:ascii="Times New Roman" w:hAnsi="Times New Roman" w:cs="Times New Roman"/>
          <w:sz w:val="20"/>
          <w:szCs w:val="20"/>
          <w:lang w:eastAsia="pl-PL"/>
        </w:rPr>
      </w:pPr>
    </w:p>
    <w:p w:rsidR="00E22AAE" w:rsidRPr="007078D3" w:rsidRDefault="00E22AAE" w:rsidP="00ED04E8">
      <w:pPr>
        <w:pStyle w:val="Bezodstpw"/>
        <w:spacing w:line="240" w:lineRule="auto"/>
        <w:rPr>
          <w:rFonts w:ascii="Times New Roman" w:hAnsi="Times New Roman" w:cs="Times New Roman"/>
          <w:sz w:val="20"/>
          <w:szCs w:val="20"/>
          <w:lang w:eastAsia="pl-PL"/>
        </w:rPr>
      </w:pPr>
    </w:p>
    <w:p w:rsidR="00E22AAE" w:rsidRDefault="00E22AAE"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F535A" w:rsidRDefault="00EF535A" w:rsidP="00ED04E8">
      <w:pPr>
        <w:pStyle w:val="Bezodstpw"/>
        <w:spacing w:line="240" w:lineRule="auto"/>
        <w:rPr>
          <w:rFonts w:ascii="Times New Roman" w:hAnsi="Times New Roman" w:cs="Times New Roman"/>
          <w:sz w:val="20"/>
          <w:szCs w:val="20"/>
          <w:lang w:eastAsia="pl-PL"/>
        </w:rPr>
      </w:pPr>
    </w:p>
    <w:p w:rsidR="00E22AAE" w:rsidRPr="007078D3" w:rsidRDefault="00E22AAE" w:rsidP="00ED04E8">
      <w:pPr>
        <w:pStyle w:val="Bezodstpw"/>
        <w:spacing w:line="240" w:lineRule="auto"/>
        <w:rPr>
          <w:rFonts w:ascii="Times New Roman" w:hAnsi="Times New Roman" w:cs="Times New Roman"/>
          <w:sz w:val="20"/>
          <w:szCs w:val="20"/>
          <w:lang w:eastAsia="pl-PL"/>
        </w:rPr>
      </w:pPr>
    </w:p>
    <w:p w:rsidR="00E22AAE" w:rsidRDefault="00E22AAE"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061EAA" w:rsidRDefault="00061EAA" w:rsidP="00ED04E8">
      <w:pPr>
        <w:pStyle w:val="Bezodstpw"/>
        <w:spacing w:line="240" w:lineRule="auto"/>
        <w:rPr>
          <w:rFonts w:ascii="Times New Roman" w:hAnsi="Times New Roman" w:cs="Times New Roman"/>
          <w:sz w:val="20"/>
          <w:szCs w:val="20"/>
          <w:lang w:eastAsia="pl-PL"/>
        </w:rPr>
      </w:pPr>
    </w:p>
    <w:p w:rsidR="00061EAA" w:rsidRDefault="00061EAA" w:rsidP="00ED04E8">
      <w:pPr>
        <w:pStyle w:val="Bezodstpw"/>
        <w:spacing w:line="240" w:lineRule="auto"/>
        <w:rPr>
          <w:rFonts w:ascii="Times New Roman" w:hAnsi="Times New Roman" w:cs="Times New Roman"/>
          <w:sz w:val="20"/>
          <w:szCs w:val="20"/>
          <w:lang w:eastAsia="pl-PL"/>
        </w:rPr>
      </w:pPr>
    </w:p>
    <w:p w:rsidR="00061EAA" w:rsidRDefault="00061EAA" w:rsidP="00ED04E8">
      <w:pPr>
        <w:pStyle w:val="Bezodstpw"/>
        <w:spacing w:line="240" w:lineRule="auto"/>
        <w:rPr>
          <w:rFonts w:ascii="Times New Roman" w:hAnsi="Times New Roman" w:cs="Times New Roman"/>
          <w:sz w:val="20"/>
          <w:szCs w:val="20"/>
          <w:lang w:eastAsia="pl-PL"/>
        </w:rPr>
      </w:pPr>
    </w:p>
    <w:p w:rsidR="00061EAA" w:rsidRDefault="00061EAA"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FB48BA" w:rsidRPr="007078D3" w:rsidRDefault="00FB48BA" w:rsidP="00ED04E8">
      <w:pPr>
        <w:pStyle w:val="Bezodstpw"/>
        <w:spacing w:line="240" w:lineRule="auto"/>
        <w:rPr>
          <w:rFonts w:ascii="Times New Roman" w:hAnsi="Times New Roman" w:cs="Times New Roman"/>
          <w:sz w:val="20"/>
          <w:szCs w:val="20"/>
          <w:lang w:eastAsia="pl-PL"/>
        </w:rPr>
      </w:pPr>
      <w:bookmarkStart w:id="2" w:name="_Toc221170385"/>
      <w:r w:rsidRPr="007078D3">
        <w:rPr>
          <w:rFonts w:ascii="Times New Roman" w:hAnsi="Times New Roman" w:cs="Times New Roman"/>
          <w:sz w:val="20"/>
          <w:szCs w:val="20"/>
          <w:lang w:eastAsia="pl-PL"/>
        </w:rPr>
        <w:lastRenderedPageBreak/>
        <w:t>D-00.00.00 WYMAGANIA OGÓLNE</w:t>
      </w:r>
      <w:bookmarkEnd w:id="2"/>
    </w:p>
    <w:p w:rsidR="00FB48BA" w:rsidRPr="007078D3" w:rsidRDefault="00FB48BA" w:rsidP="00ED04E8">
      <w:pPr>
        <w:rPr>
          <w:rFonts w:ascii="Times New Roman" w:hAnsi="Times New Roman" w:cs="Times New Roman"/>
          <w:szCs w:val="20"/>
        </w:rPr>
      </w:pPr>
      <w:bookmarkStart w:id="3" w:name="_Toc404150096"/>
      <w:bookmarkStart w:id="4" w:name="_Toc416830698"/>
      <w:bookmarkStart w:id="5" w:name="_Toc6881279"/>
      <w:bookmarkStart w:id="6" w:name="_Toc9229973"/>
      <w:r w:rsidRPr="007078D3">
        <w:rPr>
          <w:rFonts w:ascii="Times New Roman" w:hAnsi="Times New Roman" w:cs="Times New Roman"/>
          <w:szCs w:val="20"/>
        </w:rPr>
        <w:t>WSTĘP</w:t>
      </w:r>
      <w:bookmarkEnd w:id="3"/>
      <w:bookmarkEnd w:id="4"/>
      <w:bookmarkEnd w:id="5"/>
      <w:bookmarkEnd w:id="6"/>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1.1. Przedmiot </w:t>
      </w:r>
      <w:r w:rsidR="00855643" w:rsidRPr="007078D3">
        <w:rPr>
          <w:rFonts w:ascii="Times New Roman" w:hAnsi="Times New Roman" w:cs="Times New Roman"/>
          <w:szCs w:val="20"/>
        </w:rPr>
        <w:t>SST</w:t>
      </w:r>
    </w:p>
    <w:p w:rsidR="00BD752A" w:rsidRPr="007078D3" w:rsidRDefault="00BD752A"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Przedmiotem niniejszej ogólnej specyfikacji technicznej (</w:t>
      </w:r>
      <w:r w:rsidR="00855643" w:rsidRPr="007078D3">
        <w:rPr>
          <w:rFonts w:ascii="Times New Roman" w:hAnsi="Times New Roman" w:cs="Times New Roman"/>
          <w:szCs w:val="20"/>
        </w:rPr>
        <w:t>SST</w:t>
      </w:r>
      <w:r w:rsidRPr="007078D3">
        <w:rPr>
          <w:rFonts w:ascii="Times New Roman" w:hAnsi="Times New Roman" w:cs="Times New Roman"/>
          <w:szCs w:val="20"/>
        </w:rPr>
        <w:t>) są wymagania ogólne dotyczące wykonania i odbioru robót drogowych.</w:t>
      </w:r>
    </w:p>
    <w:p w:rsidR="00ED04E8" w:rsidRPr="00ED04E8" w:rsidRDefault="00ED04E8" w:rsidP="00ED04E8">
      <w:pPr>
        <w:pStyle w:val="Nagwek2"/>
        <w:spacing w:before="0" w:beforeAutospacing="0" w:after="0" w:afterAutospacing="0"/>
        <w:jc w:val="both"/>
        <w:rPr>
          <w:rFonts w:ascii="Times New Roman" w:hAnsi="Times New Roman"/>
          <w:color w:val="000000"/>
          <w:szCs w:val="20"/>
        </w:rPr>
      </w:pPr>
      <w:r w:rsidRPr="00ED04E8">
        <w:rPr>
          <w:rFonts w:ascii="Times New Roman" w:hAnsi="Times New Roman"/>
          <w:color w:val="000000"/>
          <w:szCs w:val="20"/>
        </w:rPr>
        <w:t xml:space="preserve">1.2. </w:t>
      </w:r>
      <w:r w:rsidRPr="00ED04E8">
        <w:rPr>
          <w:rFonts w:ascii="Times New Roman" w:hAnsi="Times New Roman"/>
          <w:b w:val="0"/>
          <w:bCs w:val="0"/>
          <w:color w:val="000000"/>
          <w:szCs w:val="20"/>
        </w:rPr>
        <w:t xml:space="preserve">Zakres stosowania </w:t>
      </w:r>
      <w:r w:rsidR="00985629">
        <w:rPr>
          <w:rFonts w:ascii="Times New Roman" w:hAnsi="Times New Roman"/>
          <w:b w:val="0"/>
          <w:bCs w:val="0"/>
          <w:color w:val="000000"/>
          <w:szCs w:val="20"/>
        </w:rPr>
        <w:t>SST</w:t>
      </w:r>
    </w:p>
    <w:p w:rsidR="00ED04E8" w:rsidRPr="00ED04E8" w:rsidRDefault="00ED04E8" w:rsidP="00ED04E8">
      <w:pPr>
        <w:rPr>
          <w:rFonts w:ascii="Times New Roman" w:hAnsi="Times New Roman" w:cs="Times New Roman"/>
          <w:color w:val="000000"/>
          <w:szCs w:val="20"/>
        </w:rPr>
      </w:pPr>
      <w:r w:rsidRPr="00ED04E8">
        <w:rPr>
          <w:rFonts w:ascii="Times New Roman" w:hAnsi="Times New Roman" w:cs="Times New Roman"/>
          <w:color w:val="000000"/>
          <w:szCs w:val="20"/>
        </w:rPr>
        <w:t>                Specyfikacja techniczna stanowi obowiązującą podstawę opracowania szczegółowej specyfikacji technicznej stosowanej jako dokument przetargowy i kontraktowy przy zlecaniu i realizacji robót na drogach krajowych.</w:t>
      </w:r>
    </w:p>
    <w:p w:rsidR="00ED04E8" w:rsidRPr="00ED04E8" w:rsidRDefault="00ED04E8" w:rsidP="00ED04E8">
      <w:pPr>
        <w:rPr>
          <w:rFonts w:ascii="Times New Roman" w:hAnsi="Times New Roman" w:cs="Times New Roman"/>
          <w:color w:val="000000"/>
          <w:szCs w:val="20"/>
        </w:rPr>
      </w:pPr>
      <w:r w:rsidRPr="00ED04E8">
        <w:rPr>
          <w:rFonts w:ascii="Times New Roman" w:hAnsi="Times New Roman" w:cs="Times New Roman"/>
          <w:color w:val="000000"/>
          <w:szCs w:val="20"/>
        </w:rPr>
        <w:t xml:space="preserve">                Zaleca się wykorzystanie </w:t>
      </w:r>
      <w:r w:rsidR="00985629">
        <w:rPr>
          <w:rFonts w:ascii="Times New Roman" w:hAnsi="Times New Roman" w:cs="Times New Roman"/>
          <w:color w:val="000000"/>
          <w:szCs w:val="20"/>
        </w:rPr>
        <w:t>SST</w:t>
      </w:r>
      <w:r w:rsidRPr="00ED04E8">
        <w:rPr>
          <w:rFonts w:ascii="Times New Roman" w:hAnsi="Times New Roman" w:cs="Times New Roman"/>
          <w:color w:val="000000"/>
          <w:szCs w:val="20"/>
        </w:rPr>
        <w:t xml:space="preserve"> przy zlecaniu robót na drogach wojewódzkich, powiatowych i gminnych.</w:t>
      </w:r>
    </w:p>
    <w:p w:rsidR="00ED04E8" w:rsidRPr="00ED04E8" w:rsidRDefault="00ED04E8" w:rsidP="00ED04E8">
      <w:pPr>
        <w:pStyle w:val="Nagwek2"/>
        <w:spacing w:before="0" w:beforeAutospacing="0" w:after="0" w:afterAutospacing="0"/>
        <w:jc w:val="both"/>
        <w:rPr>
          <w:rFonts w:ascii="Times New Roman" w:hAnsi="Times New Roman"/>
          <w:color w:val="000000"/>
          <w:szCs w:val="20"/>
        </w:rPr>
      </w:pPr>
      <w:r w:rsidRPr="00ED04E8">
        <w:rPr>
          <w:rFonts w:ascii="Times New Roman" w:hAnsi="Times New Roman"/>
          <w:color w:val="000000"/>
          <w:szCs w:val="20"/>
        </w:rPr>
        <w:t xml:space="preserve">1.3. </w:t>
      </w:r>
      <w:r w:rsidRPr="00ED04E8">
        <w:rPr>
          <w:rFonts w:ascii="Times New Roman" w:hAnsi="Times New Roman"/>
          <w:b w:val="0"/>
          <w:bCs w:val="0"/>
          <w:color w:val="000000"/>
          <w:szCs w:val="20"/>
        </w:rPr>
        <w:t xml:space="preserve">Zakres robót objętych </w:t>
      </w:r>
      <w:r w:rsidR="00985629">
        <w:rPr>
          <w:rFonts w:ascii="Times New Roman" w:hAnsi="Times New Roman"/>
          <w:b w:val="0"/>
          <w:bCs w:val="0"/>
          <w:color w:val="000000"/>
          <w:szCs w:val="20"/>
        </w:rPr>
        <w:t>SST</w:t>
      </w:r>
    </w:p>
    <w:p w:rsidR="00ED04E8" w:rsidRPr="00ED04E8" w:rsidRDefault="00ED04E8" w:rsidP="00ED04E8">
      <w:pPr>
        <w:rPr>
          <w:rFonts w:ascii="Times New Roman" w:hAnsi="Times New Roman" w:cs="Times New Roman"/>
          <w:color w:val="000000"/>
          <w:szCs w:val="20"/>
        </w:rPr>
      </w:pPr>
      <w:r w:rsidRPr="00ED04E8">
        <w:rPr>
          <w:rFonts w:ascii="Times New Roman" w:hAnsi="Times New Roman" w:cs="Times New Roman"/>
          <w:color w:val="000000"/>
          <w:szCs w:val="20"/>
        </w:rPr>
        <w:t>                Ustalenia zawarte w niniejszej specyfikacji obejmują wymagania ogólne, wspólne dla robót objętych ogólnymi specyfikacjami technicznymi, wydanymi przez GDDP dla poszczególnych asortymentów robót drogowych i mostowych. W przypadku braku ogólnych specyfikacji technicznych wydanych przez GDDP dla danego asortymentu robót, ustalenia dotyczą również dla SST sporządzanych indywidualnie.</w:t>
      </w:r>
    </w:p>
    <w:p w:rsidR="00BD752A" w:rsidRPr="007078D3" w:rsidRDefault="00BD752A"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1.4. Określenia podstawowe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Użyte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wymienione poniżej określenia należy rozumieć w każdym przypadku następująco: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w:t>
      </w:r>
      <w:r w:rsidRPr="007078D3">
        <w:rPr>
          <w:rFonts w:ascii="Times New Roman" w:hAnsi="Times New Roman" w:cs="Times New Roman"/>
          <w:szCs w:val="20"/>
        </w:rPr>
        <w:tab/>
        <w:t>Budowla drogowa - obiekt budowlany, nie będący budynkiem, stanowiący całość techniczno-użytkową (droga) albo jego część stanowiącą odrębny element konstrukcyjny lub technologiczny (obiekt mostowy, korpus ziemny, węzeł).</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w:t>
      </w:r>
      <w:r w:rsidRPr="007078D3">
        <w:rPr>
          <w:rFonts w:ascii="Times New Roman" w:hAnsi="Times New Roman" w:cs="Times New Roman"/>
          <w:szCs w:val="20"/>
        </w:rPr>
        <w:t>.</w:t>
      </w:r>
      <w:r w:rsidRPr="007078D3">
        <w:rPr>
          <w:rFonts w:ascii="Times New Roman" w:hAnsi="Times New Roman" w:cs="Times New Roman"/>
          <w:szCs w:val="20"/>
        </w:rPr>
        <w:tab/>
        <w:t>Chodnik - wyznaczony pas terenu przy jezdni lub odsunięty od jezdni, przeznaczony do ruchu pieszych.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w:t>
      </w:r>
      <w:r w:rsidRPr="007078D3">
        <w:rPr>
          <w:rFonts w:ascii="Times New Roman" w:hAnsi="Times New Roman" w:cs="Times New Roman"/>
          <w:szCs w:val="20"/>
        </w:rPr>
        <w:tab/>
        <w:t>Długość mostu - odległość między zewnętrznymi krawędziami pomostu, a w przypadku mostów łukowych z nadsypką - odległość w świetle podstaw sklepienia mierzona w osi jezdni drogowej.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1.4.4</w:t>
      </w:r>
      <w:r w:rsidRPr="007078D3">
        <w:rPr>
          <w:rFonts w:ascii="Times New Roman" w:hAnsi="Times New Roman" w:cs="Times New Roman"/>
          <w:szCs w:val="20"/>
        </w:rPr>
        <w:t>.</w:t>
      </w:r>
      <w:r w:rsidRPr="007078D3">
        <w:rPr>
          <w:rFonts w:ascii="Times New Roman" w:hAnsi="Times New Roman" w:cs="Times New Roman"/>
          <w:szCs w:val="20"/>
        </w:rPr>
        <w:tab/>
        <w:t>Droga - wydzielony pas terenu przeznaczony do ruchu lub postoju pojazdów oraz ruchu pieszych wraz z wszelkimi urządzeniami technicznymi związanymi z prowadzeniem i zabezpieczeniem ruchu.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1.4.5</w:t>
      </w:r>
      <w:r w:rsidRPr="007078D3">
        <w:rPr>
          <w:rFonts w:ascii="Times New Roman" w:hAnsi="Times New Roman" w:cs="Times New Roman"/>
          <w:szCs w:val="20"/>
        </w:rPr>
        <w:t>.</w:t>
      </w:r>
      <w:r w:rsidRPr="007078D3">
        <w:rPr>
          <w:rFonts w:ascii="Times New Roman" w:hAnsi="Times New Roman" w:cs="Times New Roman"/>
          <w:szCs w:val="20"/>
        </w:rPr>
        <w:tab/>
        <w:t>Droga tymczasowa (montażowa) - droga specjalnie przygotowana, przeznaczona do ruchu pojazdów obsługujących zadanie budowlane na czas jego wykonania, przewidziana do usunięcia po jego zakończeniu.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1.4.6.</w:t>
      </w:r>
      <w:r w:rsidRPr="007078D3">
        <w:rPr>
          <w:rFonts w:ascii="Times New Roman" w:hAnsi="Times New Roman" w:cs="Times New Roman"/>
          <w:szCs w:val="20"/>
        </w:rPr>
        <w:tab/>
        <w:t>Dziennik budowy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Kierownikiem projektu, Wykonawcą i projektantem.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1.4.7.</w:t>
      </w:r>
      <w:r w:rsidRPr="007078D3">
        <w:rPr>
          <w:rFonts w:ascii="Times New Roman" w:hAnsi="Times New Roman" w:cs="Times New Roman"/>
          <w:szCs w:val="20"/>
        </w:rPr>
        <w:tab/>
        <w:t>Estakada - obiekt zbudowany nad przeszkodą terenową dla zapewnienia komunikacji drogowej i ruchu pieszego.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1.4.8.</w:t>
      </w:r>
      <w:r w:rsidRPr="007078D3">
        <w:rPr>
          <w:rFonts w:ascii="Times New Roman" w:hAnsi="Times New Roman" w:cs="Times New Roman"/>
          <w:szCs w:val="20"/>
        </w:rPr>
        <w:tab/>
        <w:t>Inżynier/Kierownik projektu – osoba wymieniona w danych kontraktowych (wyznaczona przez Zamawiającego, o której wyznaczeniu poinformowany jest Wykonawca), odpowiedzialna za nadzorowanie robót i administrowanie kontraktem.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1.4.9.</w:t>
      </w:r>
      <w:r w:rsidRPr="007078D3">
        <w:rPr>
          <w:rFonts w:ascii="Times New Roman" w:hAnsi="Times New Roman" w:cs="Times New Roman"/>
          <w:szCs w:val="20"/>
        </w:rPr>
        <w:tab/>
        <w:t>Jezdnia - część korony drogi przeznaczona do ruchu pojazdów.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1.4.10.</w:t>
      </w:r>
      <w:r w:rsidRPr="007078D3">
        <w:rPr>
          <w:rFonts w:ascii="Times New Roman" w:hAnsi="Times New Roman" w:cs="Times New Roman"/>
          <w:b/>
          <w:szCs w:val="20"/>
        </w:rPr>
        <w:tab/>
      </w:r>
      <w:r w:rsidRPr="007078D3">
        <w:rPr>
          <w:rFonts w:ascii="Times New Roman" w:hAnsi="Times New Roman" w:cs="Times New Roman"/>
          <w:szCs w:val="20"/>
        </w:rPr>
        <w:t>Kierownik budowy - osoba wyznaczona przez Wykonawcę, upoważniona do kierowania robotami i do występowania w jego imieniu w sprawach realizacji kontraktu.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1.4.11.</w:t>
      </w:r>
      <w:r w:rsidRPr="007078D3">
        <w:rPr>
          <w:rFonts w:ascii="Times New Roman" w:hAnsi="Times New Roman" w:cs="Times New Roman"/>
          <w:b/>
          <w:szCs w:val="20"/>
        </w:rPr>
        <w:tab/>
      </w:r>
      <w:r w:rsidRPr="007078D3">
        <w:rPr>
          <w:rFonts w:ascii="Times New Roman" w:hAnsi="Times New Roman" w:cs="Times New Roman"/>
          <w:szCs w:val="20"/>
        </w:rPr>
        <w:t>Korona drogi - jezdnia (jezdnie) z poboczami lub chodnikami, zatokami, pasami awaryjnego postoju i pasami dzielącymi jezdnie.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1.4.12.</w:t>
      </w:r>
      <w:r w:rsidRPr="007078D3">
        <w:rPr>
          <w:rFonts w:ascii="Times New Roman" w:hAnsi="Times New Roman" w:cs="Times New Roman"/>
          <w:szCs w:val="20"/>
        </w:rPr>
        <w:tab/>
        <w:t>Konstrukcja nawierzchni - układ warstw nawierzchni wraz ze sposobem ich połączenia.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1.4.13.</w:t>
      </w:r>
      <w:r w:rsidRPr="007078D3">
        <w:rPr>
          <w:rFonts w:ascii="Times New Roman" w:hAnsi="Times New Roman" w:cs="Times New Roman"/>
          <w:b/>
          <w:szCs w:val="20"/>
        </w:rPr>
        <w:tab/>
      </w:r>
      <w:r w:rsidRPr="007078D3">
        <w:rPr>
          <w:rFonts w:ascii="Times New Roman" w:hAnsi="Times New Roman" w:cs="Times New Roman"/>
          <w:szCs w:val="20"/>
        </w:rPr>
        <w:t>Konstrukcja nośna (przęsło lub przęsła obiektu mostowego) - część obiektu oparta na podporach mostowych, tworząca ustrój niosący dla przeniesienia ruchu pojazdów lub pieszych.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1.4.14.</w:t>
      </w:r>
      <w:r w:rsidRPr="007078D3">
        <w:rPr>
          <w:rFonts w:ascii="Times New Roman" w:hAnsi="Times New Roman" w:cs="Times New Roman"/>
          <w:szCs w:val="20"/>
        </w:rPr>
        <w:tab/>
        <w:t>Korpus drogowy - nasyp lub ta część wykopu, która jest ograniczona koroną drogi i skarpami rowów.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1.4.15.</w:t>
      </w:r>
      <w:r w:rsidRPr="007078D3">
        <w:rPr>
          <w:rFonts w:ascii="Times New Roman" w:hAnsi="Times New Roman" w:cs="Times New Roman"/>
          <w:szCs w:val="20"/>
        </w:rPr>
        <w:tab/>
        <w:t>Koryto - element uformowany w korpusie drogowym w celu ułożenia w nim konstrukcji nawierzchni.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1.4.16</w:t>
      </w:r>
      <w:r w:rsidRPr="007078D3">
        <w:rPr>
          <w:rFonts w:ascii="Times New Roman" w:hAnsi="Times New Roman" w:cs="Times New Roman"/>
          <w:szCs w:val="20"/>
        </w:rPr>
        <w:t>.</w:t>
      </w:r>
      <w:r w:rsidRPr="007078D3">
        <w:rPr>
          <w:rFonts w:ascii="Times New Roman" w:hAnsi="Times New Roman" w:cs="Times New Roman"/>
          <w:szCs w:val="20"/>
        </w:rPr>
        <w:tab/>
        <w:t xml:space="preserve">Książka obmiarów - akceptowany przez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zeszyt z ponumerowanymi stronami, służący do wpisywania przez Wykonawcę obmiaru dokonywanych robót w formie wyliczeń, szkiców i ew. dodatkowych załączników. Wpisy w książce obmiarów podlegają potwierdzeniu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1.4.17.</w:t>
      </w:r>
      <w:r w:rsidRPr="007078D3">
        <w:rPr>
          <w:rFonts w:ascii="Times New Roman" w:hAnsi="Times New Roman" w:cs="Times New Roman"/>
          <w:szCs w:val="20"/>
        </w:rPr>
        <w:tab/>
        <w:t>Laboratorium - drogowe lub inne laboratorium badawcze, zaakceptowane przez Zamawiającego, niezbędne do przeprowadzenia wszelkich badań i prób związanych z oceną jakości materiałów oraz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1.4.18.</w:t>
      </w:r>
      <w:r w:rsidRPr="007078D3">
        <w:rPr>
          <w:rFonts w:ascii="Times New Roman" w:hAnsi="Times New Roman" w:cs="Times New Roman"/>
          <w:szCs w:val="20"/>
        </w:rPr>
        <w:tab/>
        <w:t xml:space="preserve">Materiały - wszelkie tworzywa niezbędne do wykonania robót, zgodne z dokumentacją projektową i specyfikacjami technicznymi, zaakceptowane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1.4.19.</w:t>
      </w:r>
      <w:r w:rsidRPr="007078D3">
        <w:rPr>
          <w:rFonts w:ascii="Times New Roman" w:hAnsi="Times New Roman" w:cs="Times New Roman"/>
          <w:szCs w:val="20"/>
        </w:rPr>
        <w:tab/>
        <w:t>Most - obiekt zbudowany nad przeszkodą wodną dla zapewnienia komunikacji drogowej i ruchu pieszego.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1.4.20.</w:t>
      </w:r>
      <w:r w:rsidRPr="007078D3">
        <w:rPr>
          <w:rFonts w:ascii="Times New Roman" w:hAnsi="Times New Roman" w:cs="Times New Roman"/>
          <w:szCs w:val="20"/>
        </w:rPr>
        <w:t xml:space="preserve"> Nawierzchnia - warstwa lub zespół warstw służących do przejmowania i rozkładania obciążeń od ruchu na podłoże gruntowe i zapewniających dogodne warunki dla ruchu.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Warstwa ścieralna - górna warstwa nawierzchni poddana bezpośrednio oddziaływaniu ruchu i czynników atmosferycznych.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Warstwa wiążąca - warstwa znajdująca się między warstwą ścieralną a podbudową, zapewniająca lepsze rozłożenie naprężeń w nawierzchni i przekazywanie ich na podbudowę.</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c)     Warstwa wyrównawcza - warstwa służąca do wyrównania nierówności podbudowy lub profilu istniejącej nawierzchni.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d)    Podbudowa - dolna część nawierzchni służąca do przenoszenia obciążeń od ruchu na podłoże. Podbudowa może składać się z podbudowy zasadniczej i podbudowy pomocniczej.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e)     Podbudowa zasadnicza - górna część podbudowy spełniająca funkcje nośne w konstrukcji nawierzchni. Może ona składać się z jednej lub dwóch warstw.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lastRenderedPageBreak/>
        <w:t>f)      Podbudowa pomocnicza - dolna część podbudowy spełniająca, obok funkcji nośnych, funkcje zabezpieczenia nawierzchni przed działaniem wody, mrozu i przenikaniem cząstek podłoża. Może zawierać warstwę mrozoochronną, odsączającą lub odcinającą.</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g)    Warstwa mrozoochronna - warstwa, której głównym zadaniem jest ochrona nawierzchni przed skutkami działania mrozu.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h)    Warstwa odcinająca - warstwa stosowana w celu uniemożliwienia przenikania cząstek drobnych gruntu do warstwy nawierzchni leżącej powyżej.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i)      Warstwa odsączająca - warstwa służąca do odprowadzenia wody przedostającej się do nawierzchni.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1.4.21.</w:t>
      </w:r>
      <w:r w:rsidRPr="007078D3">
        <w:rPr>
          <w:rFonts w:ascii="Times New Roman" w:hAnsi="Times New Roman" w:cs="Times New Roman"/>
          <w:szCs w:val="20"/>
        </w:rPr>
        <w:tab/>
        <w:t>Niweleta - wysokościowe i geometryczne rozwinięcie na płaszczyźnie pionowego przekroju w osi drogi lub obiektu mostowego.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1.4.22.</w:t>
      </w:r>
      <w:r w:rsidRPr="007078D3">
        <w:rPr>
          <w:rFonts w:ascii="Times New Roman" w:hAnsi="Times New Roman" w:cs="Times New Roman"/>
          <w:szCs w:val="20"/>
        </w:rPr>
        <w:tab/>
        <w:t>Obiekt mostowy - most, wiadukt, estakada, tunel, kładka dla pieszych i przepust.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1.4.23.</w:t>
      </w:r>
      <w:r w:rsidRPr="007078D3">
        <w:rPr>
          <w:rFonts w:ascii="Times New Roman" w:hAnsi="Times New Roman" w:cs="Times New Roman"/>
          <w:szCs w:val="20"/>
        </w:rPr>
        <w:tab/>
        <w:t>Objazd tymczasowy - droga specjalnie przygotowana i odpowiednio utrzymana do przeprowadzenia ruchu publicznego na okres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1.4.24.</w:t>
      </w:r>
      <w:r w:rsidRPr="007078D3">
        <w:rPr>
          <w:rFonts w:ascii="Times New Roman" w:hAnsi="Times New Roman" w:cs="Times New Roman"/>
          <w:szCs w:val="20"/>
        </w:rPr>
        <w:tab/>
        <w:t>Odpowiednia (bliska) zgodność - zgodność wykonywanych robót z dopuszczonymi tolerancjami, a jeśli przedział tolerancji nie został określony - z przeciętnymi tolerancjami, przyjmowanymi zwyczajowo dla danego rodzaju robót budowlanych.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1.4.25.</w:t>
      </w:r>
      <w:r w:rsidRPr="007078D3">
        <w:rPr>
          <w:rFonts w:ascii="Times New Roman" w:hAnsi="Times New Roman" w:cs="Times New Roman"/>
          <w:szCs w:val="20"/>
        </w:rPr>
        <w:tab/>
        <w:t>Pas drogowy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1.4.26.</w:t>
      </w:r>
      <w:r w:rsidRPr="007078D3">
        <w:rPr>
          <w:rFonts w:ascii="Times New Roman" w:hAnsi="Times New Roman" w:cs="Times New Roman"/>
          <w:szCs w:val="20"/>
        </w:rPr>
        <w:tab/>
        <w:t>Pobocze - część korony drogi przeznaczona do chwilowego postoju pojazdów, umieszczenia urządzeń organizacji i bezpieczeństwa ruchu oraz do ruchu pieszych, służąca jednocześnie do bocznego oparcia konstrukcji nawierzchni.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1.4.27.</w:t>
      </w:r>
      <w:r w:rsidRPr="007078D3">
        <w:rPr>
          <w:rFonts w:ascii="Times New Roman" w:hAnsi="Times New Roman" w:cs="Times New Roman"/>
          <w:szCs w:val="20"/>
        </w:rPr>
        <w:tab/>
        <w:t>Podłoże nawierzchni - grunt rodzimy lub nasypowy, leżący pod nawierzchnią do głębokości przemarzania.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1.4.28.</w:t>
      </w:r>
      <w:r w:rsidRPr="007078D3">
        <w:rPr>
          <w:rFonts w:ascii="Times New Roman" w:hAnsi="Times New Roman" w:cs="Times New Roman"/>
          <w:szCs w:val="20"/>
        </w:rPr>
        <w:tab/>
        <w:t>Podłoże ulepszone nawierzchni - górna warstwa podłoża, leżąca bezpośrednio pod nawierzchnią, ulepszona w celu umożliwienia przejęcia ruchu budowlanego i właściwego wykonania nawierzchni.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1.4.29.</w:t>
      </w:r>
      <w:r w:rsidRPr="007078D3">
        <w:rPr>
          <w:rFonts w:ascii="Times New Roman" w:hAnsi="Times New Roman" w:cs="Times New Roman"/>
          <w:b/>
          <w:szCs w:val="20"/>
        </w:rPr>
        <w:tab/>
      </w:r>
      <w:r w:rsidRPr="007078D3">
        <w:rPr>
          <w:rFonts w:ascii="Times New Roman" w:hAnsi="Times New Roman" w:cs="Times New Roman"/>
          <w:szCs w:val="20"/>
        </w:rPr>
        <w:t xml:space="preserve">Polecenie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 wszelkie polecenia przekazane Wykonawcy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w formie pisemnej, dotyczące sposobu realizacji robót lub innych spraw związanych z prowadzeniem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1.4.30.</w:t>
      </w:r>
      <w:r w:rsidRPr="007078D3">
        <w:rPr>
          <w:rFonts w:ascii="Times New Roman" w:hAnsi="Times New Roman" w:cs="Times New Roman"/>
          <w:szCs w:val="20"/>
        </w:rPr>
        <w:tab/>
        <w:t>Projektant - uprawniona osoba prawna lub fizyczna będąca autorem dokumentacji projektowej.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1.4.31.</w:t>
      </w:r>
      <w:r w:rsidRPr="007078D3">
        <w:rPr>
          <w:rFonts w:ascii="Times New Roman" w:hAnsi="Times New Roman" w:cs="Times New Roman"/>
          <w:b/>
          <w:szCs w:val="20"/>
        </w:rPr>
        <w:tab/>
      </w:r>
      <w:r w:rsidRPr="007078D3">
        <w:rPr>
          <w:rFonts w:ascii="Times New Roman" w:hAnsi="Times New Roman" w:cs="Times New Roman"/>
          <w:szCs w:val="20"/>
        </w:rPr>
        <w:t>Przedsięwzięcie budowlane - kompleksowa realizacja nowego połączenia drogowego lub całkowita modernizacja/przebudowa (zmiana parametrów geometrycznych trasy w planie i przekroju podłużnym) istniejącego połączenia.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1.4.32.</w:t>
      </w:r>
      <w:r w:rsidRPr="007078D3">
        <w:rPr>
          <w:rFonts w:ascii="Times New Roman" w:hAnsi="Times New Roman" w:cs="Times New Roman"/>
          <w:szCs w:val="20"/>
        </w:rPr>
        <w:tab/>
        <w:t>Przepust – budowla o przekroju poprzecznym zamkniętym, przeznaczona do przeprowadzenia cieku, szlaku wędrówek zwierząt dziko żyjących lub urządzeń technicznych przez korpus drogowy.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1.4.33.</w:t>
      </w:r>
      <w:r w:rsidRPr="007078D3">
        <w:rPr>
          <w:rFonts w:ascii="Times New Roman" w:hAnsi="Times New Roman" w:cs="Times New Roman"/>
          <w:szCs w:val="20"/>
        </w:rPr>
        <w:tab/>
        <w:t>Przeszkoda naturalna - element środowiska naturalnego, stanowiący utrudnienie w realizacji zadania budowlanego, na przykład dolina, bagno, rzeka, szlak wędrówek dzikich zwierząt itp.</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1.4.34.</w:t>
      </w:r>
      <w:r w:rsidRPr="007078D3">
        <w:rPr>
          <w:rFonts w:ascii="Times New Roman" w:hAnsi="Times New Roman" w:cs="Times New Roman"/>
          <w:szCs w:val="20"/>
        </w:rPr>
        <w:tab/>
        <w:t>Przeszkoda sztuczna - dzieło ludzkie, stanowiące utrudnienie w realizacji zadania budowlanego, na przykład droga, kolej, rurociąg, kanał, ciąg pieszy lub rowerowy itp.</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1.4.35.</w:t>
      </w:r>
      <w:r w:rsidRPr="007078D3">
        <w:rPr>
          <w:rFonts w:ascii="Times New Roman" w:hAnsi="Times New Roman" w:cs="Times New Roman"/>
          <w:szCs w:val="20"/>
        </w:rPr>
        <w:tab/>
        <w:t>Przetargowa dokumentacja projektowa - część dokumentacji projektowej, która wskazuje lokalizację, charakterystykę i wymiary obiektu będącego przedmiotem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1.4.36</w:t>
      </w:r>
      <w:r w:rsidRPr="007078D3">
        <w:rPr>
          <w:rFonts w:ascii="Times New Roman" w:hAnsi="Times New Roman" w:cs="Times New Roman"/>
          <w:szCs w:val="20"/>
        </w:rPr>
        <w:t>.</w:t>
      </w:r>
      <w:r w:rsidRPr="007078D3">
        <w:rPr>
          <w:rFonts w:ascii="Times New Roman" w:hAnsi="Times New Roman" w:cs="Times New Roman"/>
          <w:szCs w:val="20"/>
        </w:rPr>
        <w:tab/>
        <w:t>Przyczółek - skrajna podpora obiektu mostowego. Może składać się z pełnej ściany, słupów lub innych form konstrukcyjnych, np. skrzyń, komór.</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1.4.37.</w:t>
      </w:r>
      <w:r w:rsidRPr="007078D3">
        <w:rPr>
          <w:rFonts w:ascii="Times New Roman" w:hAnsi="Times New Roman" w:cs="Times New Roman"/>
          <w:szCs w:val="20"/>
        </w:rPr>
        <w:tab/>
        <w:t>Rekultywacja - roboty mające na celu uporządkowanie i przywrócenie pierwotnych funkcji terenom naruszonym w czasie realizacji zadania budowlanego.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1.4.38.</w:t>
      </w:r>
      <w:r w:rsidRPr="007078D3">
        <w:rPr>
          <w:rFonts w:ascii="Times New Roman" w:hAnsi="Times New Roman" w:cs="Times New Roman"/>
          <w:szCs w:val="20"/>
        </w:rPr>
        <w:tab/>
        <w:t>Rozpiętość teoretyczna - odległość między punktami podparcia (łożyskami), przęsła mostowego.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1.4.39.</w:t>
      </w:r>
      <w:r w:rsidRPr="007078D3">
        <w:rPr>
          <w:rFonts w:ascii="Times New Roman" w:hAnsi="Times New Roman" w:cs="Times New Roman"/>
          <w:szCs w:val="20"/>
        </w:rPr>
        <w:tab/>
        <w:t>Szerokość całkowita obiektu (mostu / wiaduktu) - odległość między zewnętrznymi krawędziami konstrukcji obiektu, mierzona w linii prostopadłej do osi podłużnej, obejmuje całkowitą szerokość konstrukcyjną ustroju niosącego.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1.4.40.</w:t>
      </w:r>
      <w:r w:rsidRPr="007078D3">
        <w:rPr>
          <w:rFonts w:ascii="Times New Roman" w:hAnsi="Times New Roman" w:cs="Times New Roman"/>
          <w:szCs w:val="20"/>
        </w:rPr>
        <w:tab/>
        <w:t>Szerokość użytkowa obiektu - szerokość jezdni (nawierzchni) przeznaczona dla poszczególnych rodzajów ruchu oraz szerokość chodników mierzona w świetle poręczy mostowych z wyłączeniem konstrukcji przy jezdni dołem oddzielającej ruch kołowy od ruchu pieszego.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1.4.41.</w:t>
      </w:r>
      <w:r w:rsidRPr="007078D3">
        <w:rPr>
          <w:rFonts w:ascii="Times New Roman" w:hAnsi="Times New Roman" w:cs="Times New Roman"/>
          <w:szCs w:val="20"/>
        </w:rPr>
        <w:tab/>
        <w:t>Ślepy kosztorys - wykaz robót z podaniem ich ilości (przedmiarem) w kolejności technologicznej ich wykonania.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1.4.42.</w:t>
      </w:r>
      <w:r w:rsidRPr="007078D3">
        <w:rPr>
          <w:rFonts w:ascii="Times New Roman" w:hAnsi="Times New Roman" w:cs="Times New Roman"/>
          <w:szCs w:val="20"/>
        </w:rPr>
        <w:tab/>
        <w:t>Teren budowy - teren udostępniony przez Zamawiającego dla wykonania na nim robót oraz inne miejsca wymienione w kontrakcie jako tworzące część terenu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1.4.43.</w:t>
      </w:r>
      <w:r w:rsidRPr="007078D3">
        <w:rPr>
          <w:rFonts w:ascii="Times New Roman" w:hAnsi="Times New Roman" w:cs="Times New Roman"/>
          <w:szCs w:val="20"/>
        </w:rPr>
        <w:tab/>
        <w:t>Tunel - obiekt zagłębiony poniżej poziomu terenu dla zapewnienia komunikacji drogowej i ruchu pieszego.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1.4.44.</w:t>
      </w:r>
      <w:r w:rsidRPr="007078D3">
        <w:rPr>
          <w:rFonts w:ascii="Times New Roman" w:hAnsi="Times New Roman" w:cs="Times New Roman"/>
          <w:szCs w:val="20"/>
        </w:rPr>
        <w:tab/>
        <w:t>Wiadukt - obiekt zbudowany nad linią kolejową lub inną drogą dla bezkolizyjnego zapewnienia komunikacji drogowej i ruchu pieszego.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1.4.45.</w:t>
      </w:r>
      <w:r w:rsidRPr="007078D3">
        <w:rPr>
          <w:rFonts w:ascii="Times New Roman" w:hAnsi="Times New Roman" w:cs="Times New Roman"/>
          <w:szCs w:val="20"/>
        </w:rPr>
        <w:tab/>
        <w:t>Zadanie budowlane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rsidR="00EC341D" w:rsidRPr="007078D3" w:rsidRDefault="00EC341D"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1.5. Ogólne wymagania dotyczące robót</w:t>
      </w:r>
    </w:p>
    <w:p w:rsidR="00EC341D" w:rsidRPr="007078D3" w:rsidRDefault="00EC341D"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jest odpowiedzialny za jakość wykonanych robót, bezpieczeństwo wszelkich czynności na terenie budowy, metody użyte przy budowie oraz za ich zgodność z dokumentacją projektową, SST i poleceniami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EC341D" w:rsidRPr="007078D3" w:rsidRDefault="00EC341D"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lastRenderedPageBreak/>
        <w:t>1.5.1.</w:t>
      </w:r>
      <w:r w:rsidRPr="007078D3">
        <w:rPr>
          <w:rFonts w:ascii="Times New Roman" w:hAnsi="Times New Roman" w:cs="Times New Roman"/>
          <w:szCs w:val="20"/>
        </w:rPr>
        <w:t xml:space="preserve"> Przekazanie terenu budowy</w:t>
      </w:r>
    </w:p>
    <w:p w:rsidR="00EC341D" w:rsidRPr="007078D3" w:rsidRDefault="00EC341D"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Zamawiający w terminie określonym w dokumentach kontraktowych przekaże Wykonawcy teren budowy wraz ze wszystkimi wymaganymi uzgodnieniami prawnymi i administracyjnymi, lokalizację i współrzędne punktów głównych trasy oraz reperów, dziennik budowy oraz dwa egzemplarze dokumentacji projektowej i dwa komplety SST.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Na Wykonawcy spoczywa odpowiedzialność za ochronę przekazanych mu punktów pomiarowych do chwili odbioru ostatecznego robót. Uszkodzone lub zniszczone znaki geodezyjne Wykonawca odtworzy i utrwali na własny koszt.</w:t>
      </w:r>
    </w:p>
    <w:p w:rsidR="00EC341D" w:rsidRPr="007078D3" w:rsidRDefault="00EC341D"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1.5.2.</w:t>
      </w:r>
      <w:r w:rsidRPr="007078D3">
        <w:rPr>
          <w:rFonts w:ascii="Times New Roman" w:hAnsi="Times New Roman" w:cs="Times New Roman"/>
          <w:szCs w:val="20"/>
        </w:rPr>
        <w:t xml:space="preserve"> Dokumentacja projektowa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Dokumentacja projektowa będzie zawierać rysunki, obliczenia i dokumenty, zgodne z wykazem podanym w szczegółowych warunkach umowy, uwzględniającym podział na dokumentację projektową:</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Zamawiającego; wykaz pozycji, które stanowią przetargową dokumentację projektową oraz projektową dokumentację wykonawczą (techniczną) i zostaną przekazane Wykonawcy,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Wykonawcy; wykaz zawierający spis dokumentacji projektowej, którą Wykonawca opracuje w ramach ceny kontraktowej.</w:t>
      </w:r>
    </w:p>
    <w:p w:rsidR="00EC341D" w:rsidRPr="007078D3" w:rsidRDefault="00EC341D"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1.5.3.</w:t>
      </w:r>
      <w:r w:rsidRPr="007078D3">
        <w:rPr>
          <w:rFonts w:ascii="Times New Roman" w:hAnsi="Times New Roman" w:cs="Times New Roman"/>
          <w:szCs w:val="20"/>
        </w:rPr>
        <w:t xml:space="preserve"> Zgodność robót z dokumentacją projektową i SST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Dokumentacja projektowa, SST i wszystkie dodatkowe dokumenty przekazane Wykonawcy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stanowią część umowy, a wymagania określone w choćby jednym z nich są obowiązujące dla Wykonawcy tak jakby zawarte były w całej dokumentacji.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przypadku rozbieżności w ustaleniach poszczególnych dokumentów obowiązuje kolejność ich ważności wymieniona w „Kontraktowych warunkach ogólnych” („Ogólnych warunkach umowy”).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nie może wykorzystywać błędów lub opuszczeń w dokumentach kontraktowych, a o ich wykryciu winien natychmiast powiadomić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który podejmie decyzję o wprowadzeniu odpowiednich zmian i poprawek.</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przypadku rozbieżności, wymiary podane na piśmie są ważniejsze od wymiarów określonych na podstawie odczytu ze skali rysunku.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Wszystkie wykonane roboty i dostarczone materiały będą zgodne z dokumentacją projektową i SST.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Dane określone w dokumentacji projektowej i w SST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przypadku, gdy materiały lub roboty nie będą w pełni zgodne z dokumentacją projektową lub SST i wpłynie to na niezadowalającą jakość elementu budowli, to takie materiały zostaną zastąpione innymi, a elementy budowli rozebrane i wykonane ponownie na koszt Wykonawcy.</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1.5.4.</w:t>
      </w:r>
      <w:r w:rsidRPr="007078D3">
        <w:rPr>
          <w:rFonts w:ascii="Times New Roman" w:hAnsi="Times New Roman" w:cs="Times New Roman"/>
          <w:szCs w:val="20"/>
        </w:rPr>
        <w:t xml:space="preserve"> Zabezpieczenie terenu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Roboty modernizacyjne/ przebudowa i remontowe („pod   ruchem”)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jest zobowiązany do utrzymania ruchu publicznego oraz utrzymania istniejących obiektów (jezdnie, ścieżki rowerowe, ciągi piesze, znaki drogowe, bariery ochronne, urządzenia odwodnienia itp.) na terenie budowy, w okresie trwania realizacji kontraktu, aż do zakończenia i odbioru ostatecznego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Przed przystąpieniem do robót Wykonawca przedstawi Inżynierowi/Kierownikowi projektu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Każda zmiana, w stosunku do zatwierdzonego projektu organizacji ruchu, wymaga każdorazowo ponownego zatwierdzenia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czasie wykonywania robót Wykonawca dostarczy, zainstaluje i będzie obsługiwał wszystkie tymczasowe urządzenia zabezpieczające takie jak: zapory, światła ostrzegawcze, sygnały, itp., zapewniając w ten sposób bezpieczeństwo pojazdów i pieszych.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zapewni stałe warunki widoczności w dzień i w nocy tych zapór i znaków, dla których jest to nieodzowne ze względów bezpieczeństwa.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Wszystkie znaki, zapory i inne urządzenia zabezpieczające będą akceptowane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Fakt przystąpienia do robót Wykonawca obwieści publicznie przed ich rozpoczęciem w sposób uzgodniony z Inżynierem/Kierownikiem projektu oraz przez umieszczenie, w miejscach i ilościach określonych przez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tablic informacyjnych, których treść będzie zatwierdzona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Tablice informacyjne będą utrzymywane przez Wykonawcę w dobrym stanie przez cały okres realizacji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Koszt zabezpieczenia terenu budowy nie podlega odrębnej zapłacie i przyjmuje się, że jest włączony w cenę kontraktową.</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Roboty o charakterze inwestycyjnym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jest zobowiązany do zabezpieczenia terenu budowy w okresie trwania realizacji kontraktu aż do zakończenia i odbioru ostatecznego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dostarczy, zainstaluje i będzie utrzymywać tymczasowe urządzenia zabezpieczające, w tym: ogrodzenia, poręcze, oświetlenie, sygnały i znaki ostrzegawcze oraz  wszelkie inne środki niezbędne do ochrony robót, wygody społeczności i innych.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lastRenderedPageBreak/>
        <w:tab/>
        <w:t>W miejscach przylegających do dróg otwartych dla ruchu, Wykonawca ogrodzi lub wyraźnie oznakuje teren budowy, w sposób uzgodniony z Inżynierem/Kierownikiem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Wjazdy i wyjazdy z terenu budowy przeznaczone dla pojazdów i maszyn pracujących przy realizacji robót, Wykonawca odpowiednio oznakuje w sposób uzgodniony z Inżynierem/Kierownikiem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Fakt przystąpienia do robót Wykonawca obwieści publicznie przed ich rozpoczęciem w sposób uzgodniony z Inżynierem/Kierownikiem projektu oraz przez umieszczenie, w miejscach i ilościach określonych przez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tablic informacyjnych, których treść będzie zatwierdzona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Tablice informacyjne będą utrzymywane przez Wykonawcę w dobrym stanie przez cały okres realizacji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Koszt zabezpieczenia terenu budowy nie podlega odrębnej zapłacie i przyjmuje się, że jest włączony w cenę kontraktową.</w:t>
      </w:r>
    </w:p>
    <w:p w:rsidR="00385A32" w:rsidRPr="007078D3" w:rsidRDefault="00385A32"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1.5.5.</w:t>
      </w:r>
      <w:r w:rsidRPr="007078D3">
        <w:rPr>
          <w:rFonts w:ascii="Times New Roman" w:hAnsi="Times New Roman" w:cs="Times New Roman"/>
          <w:szCs w:val="20"/>
        </w:rPr>
        <w:t xml:space="preserve"> Ochrona środowiska w czasie wykonywania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ma obowiązek znać i stosować w czasie prowadzenia robót wszelkie przepisy dotyczące ochrony środowiska naturalnego.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okresie trwania budowy i wykańczania robót Wykonawca będzie: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utrzymywać teren budowy i wykopy w stanie bez wody stojącej,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b)    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 </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Stosując się do tych wymagań będzie miał szczególny wzgląd na: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1)     lokalizację baz, warsztatów, magazynów, składowisk, ukopów i dróg dojazdowych,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     środki ostrożności i zabezpieczenia przed:</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zanieczyszczeniem zbiorników i cieków wodnych pyłami lub substancjami toksycznymi,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zanieczyszczeniem powietrza pyłami i gazami,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c)     możliwością powstania pożaru.</w:t>
      </w:r>
    </w:p>
    <w:p w:rsidR="00385A32" w:rsidRPr="007078D3" w:rsidRDefault="00385A32"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1.5.6.</w:t>
      </w:r>
      <w:r w:rsidRPr="007078D3">
        <w:rPr>
          <w:rFonts w:ascii="Times New Roman" w:hAnsi="Times New Roman" w:cs="Times New Roman"/>
          <w:szCs w:val="20"/>
        </w:rPr>
        <w:t xml:space="preserve"> Ochrona przeciwpożarowa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będzie przestrzegać przepisy ochrony przeciwpożarowej.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będzie utrzymywać, wymagany na podstawie odpowiednich przepisów sprawny sprzęt przeciwpożarowy, na terenie baz produkcyjnych, w pomieszczeniach biurowych, mieszkalnych, magazynach oraz w maszynach i pojazdach.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Materiały łatwopalne będą składowane w sposób zgodny z odpowiednimi przepisami i zabezpieczone przed dostępem osób trzecich.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będzie odpowiedzialny za wszelkie straty spowodowane pożarem wywołanym jako rezultat realizacji robót albo przez personel Wykonawcy.</w:t>
      </w:r>
    </w:p>
    <w:p w:rsidR="00385A32" w:rsidRPr="007078D3" w:rsidRDefault="00385A32"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1.5.7.</w:t>
      </w:r>
      <w:r w:rsidRPr="007078D3">
        <w:rPr>
          <w:rFonts w:ascii="Times New Roman" w:hAnsi="Times New Roman" w:cs="Times New Roman"/>
          <w:szCs w:val="20"/>
        </w:rPr>
        <w:t xml:space="preserve"> Materiały szkodliwe dla otoczenia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Materiały, które w sposób trwały są szkodliwe dla otoczenia, nie będą dopuszczone do użycia.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Nie dopuszcza się użycia materiałów wywołujących szkodliwe promieniowanie o stężeniu większym od dopuszczalnego, określonego odpowiednimi przepisami.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Wszelkie materiały odpadowe użyte do robót będą miały aprobatę techniczną wydaną przez uprawnioną jednostkę, jednoznacznie określającą brak szkodliwego oddziaływania tych materiałów na środowisko.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Jeżeli Wykonawca użył materiałów szkodliwych dla otoczenia zgodnie ze specyfikacjami, a ich użycie spowodowało jakiekolwiek zagrożenie środowiska, to konsekwencje tego poniesie Zamawiający.</w:t>
      </w:r>
    </w:p>
    <w:p w:rsidR="00385A32" w:rsidRPr="007078D3" w:rsidRDefault="00385A32"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1.5.8.</w:t>
      </w:r>
      <w:r w:rsidRPr="007078D3">
        <w:rPr>
          <w:rFonts w:ascii="Times New Roman" w:hAnsi="Times New Roman" w:cs="Times New Roman"/>
          <w:szCs w:val="20"/>
        </w:rPr>
        <w:t xml:space="preserve"> Ochrona własności publicznej i prywatnej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zobowiązany jest umieścić w swoim harmonogramie rezerwę czasową dla wszelkiego rodzaju robót, które mają być wykonane w zakresie przełożenia instalacji i urządzeń podziemnych na terenie budowy i powiadomić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i władze lokalne o zamiarze rozpoczęcia robót. O fakcie przypadkowego uszkodzenia tych instalacji Wykonawca bezzwłocznie powiadomi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lastRenderedPageBreak/>
        <w:tab/>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Inżynier/Kierownik projektu będzie na bieżąco informowany o wszystkich umowach zawartych pomiędzy Wykonawcą a właścicielami nieruchomości i dotyczących korzystania z własności i dróg wewnętrznych. Jednakże, ani Inżynier/Kierownik projektu ani Zamawiający nie będzie ingerował w takie porozumienia, o ile nie będą one sprzeczne z postanowieniami zawartymi w warunkach umowy.</w:t>
      </w:r>
    </w:p>
    <w:p w:rsidR="00385A32" w:rsidRPr="007078D3" w:rsidRDefault="00385A32"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1.5.9.</w:t>
      </w:r>
      <w:r w:rsidRPr="007078D3">
        <w:rPr>
          <w:rFonts w:ascii="Times New Roman" w:hAnsi="Times New Roman" w:cs="Times New Roman"/>
          <w:szCs w:val="20"/>
        </w:rPr>
        <w:t xml:space="preserve"> Ograniczenie obciążeń osi pojazdów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Inżynier/Kierownik projektu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385A32" w:rsidRPr="007078D3" w:rsidRDefault="00385A32"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1.5.10.</w:t>
      </w:r>
      <w:r w:rsidRPr="007078D3">
        <w:rPr>
          <w:rFonts w:ascii="Times New Roman" w:hAnsi="Times New Roman" w:cs="Times New Roman"/>
          <w:szCs w:val="20"/>
        </w:rPr>
        <w:t xml:space="preserve"> Bezpieczeństwo i higiena pracy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Podczas realizacji robót Wykonawca będzie przestrzegać przepisów dotyczących bezpieczeństwa i higieny pracy.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szczególności Wykonawca ma obowiązek zadbać, aby personel nie wykonywał pracy w warunkach niebezpiecznych, szkodliwych dla zdrowia oraz nie spełniających odpowiednich wymagań sanitarnych.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zapewni i będzie utrzymywał wszelkie urządzenia zabezpieczające, socjalne oraz sprzęt i odpowiednią odzież dla ochrony życia i zdrowia osób zatrudnionych na budowie oraz dla zapewnienia bezpieczeństwa publicznego.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Uznaje się, że wszelkie koszty związane z wypełnieniem wymagań określonych powyżej nie podlegają odrębnej zapłacie i są uwzględnione w cenie kontraktowej.</w:t>
      </w:r>
    </w:p>
    <w:p w:rsidR="00385A32" w:rsidRPr="007078D3" w:rsidRDefault="00385A32"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1.5.11.</w:t>
      </w:r>
      <w:r w:rsidRPr="007078D3">
        <w:rPr>
          <w:rFonts w:ascii="Times New Roman" w:hAnsi="Times New Roman" w:cs="Times New Roman"/>
          <w:szCs w:val="20"/>
        </w:rPr>
        <w:t xml:space="preserve"> Ochrona i utrzymanie robót</w:t>
      </w:r>
    </w:p>
    <w:p w:rsidR="00FB48BA" w:rsidRPr="007078D3" w:rsidRDefault="00FB48BA" w:rsidP="00ED04E8">
      <w:pPr>
        <w:rPr>
          <w:rFonts w:ascii="Times New Roman" w:hAnsi="Times New Roman" w:cs="Times New Roman"/>
          <w:b/>
          <w:szCs w:val="20"/>
        </w:rPr>
      </w:pPr>
      <w:r w:rsidRPr="007078D3">
        <w:rPr>
          <w:rFonts w:ascii="Times New Roman" w:hAnsi="Times New Roman" w:cs="Times New Roman"/>
          <w:b/>
          <w:szCs w:val="20"/>
        </w:rPr>
        <w:tab/>
      </w:r>
      <w:bookmarkStart w:id="7" w:name="_Toc412518567"/>
      <w:r w:rsidRPr="007078D3">
        <w:rPr>
          <w:rFonts w:ascii="Times New Roman" w:hAnsi="Times New Roman" w:cs="Times New Roman"/>
          <w:b/>
          <w:szCs w:val="20"/>
        </w:rPr>
        <w:t xml:space="preserve">Wykonawca będzie odpowiadał za ochronę robót i za wszelkie materiały i urządzenia używane do robót od daty rozpoczęcia do daty wydania potwierdzenia zakończenia robót przez </w:t>
      </w:r>
      <w:r w:rsidR="00D51F32" w:rsidRPr="007078D3">
        <w:rPr>
          <w:rFonts w:ascii="Times New Roman" w:hAnsi="Times New Roman" w:cs="Times New Roman"/>
          <w:b/>
          <w:szCs w:val="20"/>
        </w:rPr>
        <w:t>Inspektora</w:t>
      </w:r>
      <w:r w:rsidRPr="007078D3">
        <w:rPr>
          <w:rFonts w:ascii="Times New Roman" w:hAnsi="Times New Roman" w:cs="Times New Roman"/>
          <w:b/>
          <w:szCs w:val="20"/>
        </w:rPr>
        <w:t>/Kierownika projektu.</w:t>
      </w:r>
      <w:bookmarkEnd w:id="7"/>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będzie utrzymywać roboty do czasu odbioru ostatecznego. Utrzymanie powinno być prowadzone w taki sposób, aby budowla drogowa lub jej elementy były w zadowalającym stanie przez cały czas, do momentu odbioru ostatecznego.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Jeśli Wykonawca w jakimkolwiek czasie zaniedba utrzymanie, to na polecenie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powinien rozpocząć roboty utrzymaniowe nie później niż w 24 godziny po otrzymaniu tego polecenia.</w:t>
      </w:r>
    </w:p>
    <w:p w:rsidR="00385A32" w:rsidRPr="007078D3" w:rsidRDefault="00385A32" w:rsidP="00ED04E8">
      <w:pPr>
        <w:rPr>
          <w:rFonts w:ascii="Times New Roman" w:hAnsi="Times New Roman" w:cs="Times New Roman"/>
          <w:bCs/>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1.5.12.</w:t>
      </w:r>
      <w:r w:rsidRPr="007078D3">
        <w:rPr>
          <w:rFonts w:ascii="Times New Roman" w:hAnsi="Times New Roman" w:cs="Times New Roman"/>
          <w:szCs w:val="20"/>
        </w:rPr>
        <w:t xml:space="preserve"> Stosowanie się do prawa i innych przepisów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385A32" w:rsidRPr="007078D3" w:rsidRDefault="00385A32" w:rsidP="00ED04E8">
      <w:pPr>
        <w:rPr>
          <w:rFonts w:ascii="Times New Roman" w:hAnsi="Times New Roman" w:cs="Times New Roman"/>
          <w:b/>
          <w:szCs w:val="20"/>
        </w:rPr>
      </w:pPr>
    </w:p>
    <w:p w:rsidR="00FB48BA" w:rsidRPr="007078D3" w:rsidRDefault="00FB48BA" w:rsidP="00ED04E8">
      <w:pPr>
        <w:rPr>
          <w:rFonts w:ascii="Times New Roman" w:hAnsi="Times New Roman" w:cs="Times New Roman"/>
          <w:b/>
          <w:szCs w:val="20"/>
        </w:rPr>
      </w:pPr>
      <w:r w:rsidRPr="007078D3">
        <w:rPr>
          <w:rFonts w:ascii="Times New Roman" w:hAnsi="Times New Roman" w:cs="Times New Roman"/>
          <w:b/>
          <w:szCs w:val="20"/>
        </w:rPr>
        <w:t>1.5.13. Równoważność norm i zbiorów przepisów prawnych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Różnice pomiędzy powołanymi normami a ich proponowanymi zamiennikami muszą być dokładnie opisane przez Wykonawcę i przedłożone Inżynierowi/Kierownikowi projektu do zatwierdzenia.</w:t>
      </w:r>
    </w:p>
    <w:p w:rsidR="00385A32" w:rsidRPr="007078D3" w:rsidRDefault="00385A32" w:rsidP="00ED04E8">
      <w:pPr>
        <w:rPr>
          <w:rFonts w:ascii="Times New Roman" w:hAnsi="Times New Roman" w:cs="Times New Roman"/>
          <w:b/>
          <w:szCs w:val="20"/>
        </w:rPr>
      </w:pPr>
    </w:p>
    <w:p w:rsidR="00FB48BA" w:rsidRPr="007078D3" w:rsidRDefault="00FB48BA" w:rsidP="00ED04E8">
      <w:pPr>
        <w:rPr>
          <w:rFonts w:ascii="Times New Roman" w:hAnsi="Times New Roman" w:cs="Times New Roman"/>
          <w:b/>
          <w:szCs w:val="20"/>
        </w:rPr>
      </w:pPr>
      <w:r w:rsidRPr="007078D3">
        <w:rPr>
          <w:rFonts w:ascii="Times New Roman" w:hAnsi="Times New Roman" w:cs="Times New Roman"/>
          <w:b/>
          <w:szCs w:val="20"/>
        </w:rPr>
        <w:t>1.5.14. Wykopaliska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Wszelkie wykopaliska, monety, przedmioty wartościowe, budowle oraz inne pozostałości o znaczeniu geologicznym lub archeologicznym odkryte na terenie budowy będą uważane za własność Zamawiającego. Wykonawca zobowiązany jest powiadomić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i postępować zgodnie z jego poleceniami. Jeżeli w wyniku tych poleceń Wykonawca poniesie koszty i/lub wystąpią opóźnienia w robotach, Inżynier/Kierownik projektu po uzgodnieniu z Zamawiającym i Wykonawcą ustali wydłużenie czasu wykonania robót i/lub wysokość kwoty, o którą należy zwiększyć cenę kontraktową.</w:t>
      </w:r>
    </w:p>
    <w:p w:rsidR="00385A32" w:rsidRPr="007078D3" w:rsidRDefault="00385A32" w:rsidP="00ED04E8">
      <w:pPr>
        <w:rPr>
          <w:rFonts w:ascii="Times New Roman" w:hAnsi="Times New Roman" w:cs="Times New Roman"/>
          <w:b/>
          <w:szCs w:val="20"/>
        </w:rPr>
      </w:pPr>
    </w:p>
    <w:p w:rsidR="00FB48BA" w:rsidRPr="007078D3" w:rsidRDefault="00FB48BA" w:rsidP="00ED04E8">
      <w:pPr>
        <w:rPr>
          <w:rFonts w:ascii="Times New Roman" w:hAnsi="Times New Roman" w:cs="Times New Roman"/>
          <w:b/>
          <w:szCs w:val="20"/>
        </w:rPr>
      </w:pPr>
      <w:r w:rsidRPr="007078D3">
        <w:rPr>
          <w:rFonts w:ascii="Times New Roman" w:hAnsi="Times New Roman" w:cs="Times New Roman"/>
          <w:b/>
          <w:szCs w:val="20"/>
        </w:rPr>
        <w:t>1.6. Zaplecze Zamawiającego (</w:t>
      </w:r>
      <w:r w:rsidRPr="007078D3">
        <w:rPr>
          <w:rFonts w:ascii="Times New Roman" w:hAnsi="Times New Roman" w:cs="Times New Roman"/>
          <w:szCs w:val="20"/>
        </w:rPr>
        <w:t>o ile warunki kontraktu przewidują realizację</w:t>
      </w:r>
      <w:r w:rsidRPr="007078D3">
        <w:rPr>
          <w:rFonts w:ascii="Times New Roman" w:hAnsi="Times New Roman" w:cs="Times New Roman"/>
          <w:b/>
          <w:szCs w:val="20"/>
        </w:rPr>
        <w: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lastRenderedPageBreak/>
        <w:tab/>
      </w:r>
      <w:r w:rsidRPr="007078D3">
        <w:rPr>
          <w:rFonts w:ascii="Times New Roman" w:hAnsi="Times New Roman" w:cs="Times New Roman"/>
          <w:szCs w:val="20"/>
        </w:rPr>
        <w:t>Wykonawca zobowiązany jest zabezpieczyć Zamawiającemu, pomieszczenia biurowe, sprzęt, transport oraz inne urządzenia towarzyszące, zgodnie z wymaganiami podanymi w D-M-00.00.01 „Zaplecze Zamawiającego”.</w:t>
      </w:r>
    </w:p>
    <w:p w:rsidR="00385A32" w:rsidRPr="007078D3" w:rsidRDefault="00385A32" w:rsidP="00ED04E8">
      <w:pPr>
        <w:rPr>
          <w:rFonts w:ascii="Times New Roman" w:hAnsi="Times New Roman" w:cs="Times New Roman"/>
          <w:szCs w:val="20"/>
        </w:rPr>
      </w:pPr>
      <w:bookmarkStart w:id="8" w:name="_Toc416830699"/>
      <w:bookmarkStart w:id="9" w:name="_Toc6881280"/>
      <w:bookmarkStart w:id="10" w:name="_Toc9229974"/>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 MATERIAŁY</w:t>
      </w:r>
      <w:bookmarkEnd w:id="8"/>
      <w:bookmarkEnd w:id="9"/>
      <w:bookmarkEnd w:id="10"/>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2.1. Źródła uzyskania materiałów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Co najmniej na trzy tygodnie przed zaplanowanym wykorzystaniem jakichkolwiek materiałów przeznaczonych do robót, Wykonawca przedstawi Inżynierowi/Kierownikowi projektu do zatwierdzenia, szczegółowe informacje dotyczące proponowanego źródła wytwarzania, zamawiania lub wydobywania tych materiałów jak również odpowiednie świadectwa badań laboratoryjnych oraz próbki materiałów.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Zatwierdzenie partii materiałów z danego źródła nie oznacza automatycznie, że wszelkie materiały z danego źródła uzyskają zatwierdzenie.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zobowiązany jest do prowadzenia badań w celu wykazania, że materiały uzyskane z dopuszczonego źródła w sposób ciągły spełniają wymagania SST w czasie realizacji robót.</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2.2. Pozyskiwanie materiałów miejscowych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odpowiada za uzyskanie pozwoleń od właścicieli i odnośnych władz na pozyskanie materiałów ze źródeł miejscowych włączając w to źródła wskazane przez Zamawiającego i jest zobowiązany dostarczyć Inżynierowi/Kierownikowi projektu wymagane dokumenty przed rozpoczęciem eksploatacji źródła.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przedstawi Inżynierowi/Kierownikowi projektu do zatwierdzenia dokumentację zawierającą raporty z badań terenowych i laboratoryjnych oraz proponowaną przez siebie metodę wydobycia i selekcji, uwzględniając aktualne decyzje o eksploatacji, organów administracji państwowej i samorządowej.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ponosi odpowiedzialność za spełnienie wymagań ilościowych i jakościowych materiałów pochodzących ze źródeł miejscowych.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ponosi wszystkie koszty, z tytułu wydobycia materiałów, dzierżawy i inne jakie okażą się potrzebne w związku  z dostarczeniem materiałów do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Humus i nadkład czasowo zdjęte z terenu wykopów, dokopów i miejsc pozyskania materiałów miejscowych będą formowane w hałdy i wykorzystane przy zasypce i rekultywacji terenu po ukończeniu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Wszystkie odpowiednie materiały pozyskane z wykopów na terenie budowy lub z innych miejsc wskazanych w dokumentach umowy będą wykorzystane do robót lub odwiezione na odkład odpowiednio do wymagań umowy lub wskazań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nie będzie prowadzić żadnych wykopów w obrębie terenu budowy poza tymi, które zostały wyszczególnione w dokumentach umowy, chyba, że uzyska na to pisemną zgodę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Eksploatacja źródeł materiałów będzie zgodna z wszelkimi regulacjami prawnymi obowiązującymi na danym obszarze.</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2.3. Materiały nie odpowiadające wymaganiom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Materiały nie odpowiadające wymaganiom zostaną przez Wykonawcę wywiezione z terenu budowy  i złożone w miejscu wskazanym przez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Jeśli Inżynier/Kierownik projektu zezwoli Wykonawcy na użycie tych materiałów do innych robót, niż te dla których zostały zakupione, to koszt tych materiałów zostanie odpowiednio przewartościowany (skorygowany)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Każdy rodzaj robót, w którym znajdują się nie zbadane i nie zaakceptowane materiały, Wykonawca wykonuje na własne ryzyko, licząc się z jego nieprzyjęciem, usunięciem  i niezapłaceniem</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2.4. Wariantowe stosowanie materiałów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Jeśli dokumentacja projektowa lub SST przewidują możliwość wariantowego zastosowania rodzaju materiału w wykonywanych robotach, Wykonawca powiadomi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o swoim zamiarze co najmniej 3 tygodnie przed użyciem tego materiału, albo w okresie dłuższym, jeśli będzie to potrzebne z uwagi na wykonanie badań wymaganych przez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Wybrany i zaakceptowany rodzaj materiału nie może być później zmieniany bez zgody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2.5. Przechowywanie i składowanie materiałów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zapewni, aby tymczasowo składowane materiały, do czasu gdy będą one użyte do robót, były zabezpieczone przed zanieczyszczeniami, zachowały swoją jakość i właściwości i były dostępne do kontroli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Miejsca czasowego składowania materiałów będą zlokalizowane w obrębie terenu budowy w miejscach uzgodnionych z Inżynierem/Kierownikiem projektu lub poza terenem budowy w miejscach zorganizowanych przez Wykonawcę i zaakceptowanych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2.6. Inspekcja wytwórni materiałów</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lastRenderedPageBreak/>
        <w:tab/>
        <w:t xml:space="preserve">Wytwórnie materiałów mogą być okresowo kontrolowane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przypadku, gdy Inżynier/Kierownik projektu będzie przeprowadzał inspekcję wytwórni, muszą być spełnione następujące warunki: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Inżynier/Kierownik projektu będzie miał zapewnioną współpracę i pomoc Wykonawcy oraz producenta materiałów w czasie przeprowadzania inspekcji,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Inżynier/Kierownik projektu będzie miał wolny dostęp, w dowolnym czasie, do tych części wytwórni, gdzie odbywa się produkcja materiałów przeznaczonych do realizacji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c)     Jeżeli produkcja odbywa się w miejscu nie należącym do Wykonawcy, Wykonawca uzyska dla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zezwolenie dla przeprowadzenia inspekcji i badań w tych miejscach.</w:t>
      </w:r>
    </w:p>
    <w:p w:rsidR="00385A32" w:rsidRPr="007078D3" w:rsidRDefault="00385A32" w:rsidP="00ED04E8">
      <w:pPr>
        <w:rPr>
          <w:rFonts w:ascii="Times New Roman" w:hAnsi="Times New Roman" w:cs="Times New Roman"/>
          <w:szCs w:val="20"/>
        </w:rPr>
      </w:pPr>
      <w:bookmarkStart w:id="11" w:name="_Toc416830700"/>
      <w:bookmarkStart w:id="12" w:name="_Toc6881281"/>
      <w:bookmarkStart w:id="13" w:name="_Toc9229975"/>
    </w:p>
    <w:p w:rsidR="00FB48BA" w:rsidRPr="007078D3" w:rsidRDefault="00385A32" w:rsidP="00ED04E8">
      <w:pPr>
        <w:rPr>
          <w:rFonts w:ascii="Times New Roman" w:hAnsi="Times New Roman" w:cs="Times New Roman"/>
          <w:szCs w:val="20"/>
        </w:rPr>
      </w:pPr>
      <w:r w:rsidRPr="007078D3">
        <w:rPr>
          <w:rFonts w:ascii="Times New Roman" w:hAnsi="Times New Roman" w:cs="Times New Roman"/>
          <w:szCs w:val="20"/>
        </w:rPr>
        <w:t>3. SPRZĘT</w:t>
      </w:r>
      <w:bookmarkEnd w:id="11"/>
      <w:bookmarkEnd w:id="12"/>
      <w:bookmarkEnd w:id="13"/>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SST, PZJ lub projekcie organizacji robót, zaakceptowanym przez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w przypadku braku ustaleń w wymienionych wyżej dokumentach, sprzęt powinien być uzgodniony i zaakceptowany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Liczba i wydajność sprzętu powinny gwarantować przeprowadzenie robót, zgodnie z zasadami określonymi w dokumentacji projektowej, SST i wskazaniach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Sprzęt będący własnością Wykonawcy lub wynajęty do wykonania robót ma być utrzymywany w dobrym stanie i gotowości do pracy. Powinien być zgodny z normami ochrony środowiska i przepisami dotyczącymi jego użytkowania.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dostarczy Inżynierowi/Kierownikowi projektu kopie dokumentów potwierdzających dopuszczenie sprzętu do użytkowania i badań okresowych, tam gdzie jest to wymagane przepisami.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będzie konserwować sprzęt jak również naprawiać lub wymieniać sprzęt niesprawny.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Jeżeli dokumentacja projektowa lub SST przewidują możliwość wariantowego użycia sprzętu przy wykonywanych robotach, Wykonawca powiadomi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o swoim zamiarze wyboru i uzyska jego akceptację przed użyciem sprzętu. Wybrany sprzęt, po akceptacji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nie może być później zmieniany bez jego zgody.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Jakikolwiek sprzęt, maszyny, urządzenia i narzędzia nie gwarantujące zachowania warunków umowy, zostaną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zdyskwalifikowane i nie dopuszczone do robót.</w:t>
      </w:r>
    </w:p>
    <w:p w:rsidR="006B085C" w:rsidRPr="007078D3" w:rsidRDefault="006B085C" w:rsidP="00ED04E8">
      <w:pPr>
        <w:rPr>
          <w:rFonts w:ascii="Times New Roman" w:hAnsi="Times New Roman" w:cs="Times New Roman"/>
          <w:szCs w:val="20"/>
        </w:rPr>
      </w:pPr>
    </w:p>
    <w:p w:rsidR="006B085C" w:rsidRPr="007078D3" w:rsidRDefault="00385A32" w:rsidP="00ED04E8">
      <w:pPr>
        <w:rPr>
          <w:rFonts w:ascii="Times New Roman" w:hAnsi="Times New Roman" w:cs="Times New Roman"/>
          <w:szCs w:val="20"/>
        </w:rPr>
      </w:pPr>
      <w:bookmarkStart w:id="14" w:name="_Toc416830701"/>
      <w:bookmarkStart w:id="15" w:name="_Toc6881282"/>
      <w:bookmarkStart w:id="16" w:name="_Toc9229976"/>
      <w:r w:rsidRPr="007078D3">
        <w:rPr>
          <w:rFonts w:ascii="Times New Roman" w:hAnsi="Times New Roman" w:cs="Times New Roman"/>
          <w:szCs w:val="20"/>
        </w:rPr>
        <w:t>4. TRANSPORT</w:t>
      </w:r>
      <w:bookmarkEnd w:id="14"/>
      <w:bookmarkEnd w:id="15"/>
      <w:bookmarkEnd w:id="16"/>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jest zobowiązany do stosowania jedynie takich środków transportu, które nie wpłyną niekorzystnie na jakość wykonywanych robót i właściwości przewożonych materiałów.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Liczba środków transportu powinna zapewniać prowadzenie robót zgodnie z zasadami określonymi w dokumentacji projektowej, SST i wskazaniach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w terminie przewidzianym umową.</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Przy ruchu na drogach publicznych pojazdy będą spełniać wymagania dotyczące przepisów ruchu drogowego w odniesieniu do dopuszczalnych nacisków na oś i innych parametrów technicznych. Środki transportu nie spełniające tych warunków mogą być dopuszczone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pod warunkiem przywrócenia stanu pierwotnego użytkowanych odcinków dróg na koszt Wykonawcy.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będzie usuwać na bieżąco, na własny koszt, wszelkie zanieczyszczenia, uszkodzenia spowodowane jego pojazdami na drogach publicznych oraz dojazdach do terenu budowy.</w:t>
      </w:r>
    </w:p>
    <w:p w:rsidR="00385A32" w:rsidRPr="007078D3" w:rsidRDefault="00385A32" w:rsidP="00ED04E8">
      <w:pPr>
        <w:rPr>
          <w:rFonts w:ascii="Times New Roman" w:hAnsi="Times New Roman" w:cs="Times New Roman"/>
          <w:szCs w:val="20"/>
        </w:rPr>
      </w:pPr>
      <w:bookmarkStart w:id="17" w:name="_Toc416830702"/>
      <w:bookmarkStart w:id="18" w:name="_Toc6881283"/>
      <w:bookmarkStart w:id="19" w:name="_Toc9229977"/>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5</w:t>
      </w:r>
      <w:r w:rsidR="00385A32" w:rsidRPr="007078D3">
        <w:rPr>
          <w:rFonts w:ascii="Times New Roman" w:hAnsi="Times New Roman" w:cs="Times New Roman"/>
          <w:szCs w:val="20"/>
        </w:rPr>
        <w:t>. WYKONANIE ROBÓT</w:t>
      </w:r>
      <w:bookmarkEnd w:id="17"/>
      <w:bookmarkEnd w:id="18"/>
      <w:bookmarkEnd w:id="19"/>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jest odpowiedzialny za prowadzenie robót zgodnie z warunkami umowy oraz za jakość zastosowanych materiałów i wykonywanych robót, za ich zgodność z dokumentacją projektową, wymaganiami SST, PZJ, projektem organizacji robót opracowanym przez Wykonawcę oraz poleceniami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jest odpowiedzialny za stosowane metody wykonywania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jest odpowiedzialny za dokładne wytyczenie w planie i wyznaczenie wysokości wszystkich elementów robót zgodnie z wymiarami i rzędnymi określonymi w dokumentacji projektowej lub przekazanymi na piśmie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Błędy popełnione przez Wykonawcę w wytyczeniu i wyznaczaniu robót zostaną, usunięte przez Wykonawcę na własny koszt, z wyjątkiem, kiedy dany błąd okaże się skutkiem błędu zawartego w danych dostarczonych Wykonawcy na piśmie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Sprawdzenie wytyczenia robót lub wyznaczenia wysokości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nie zwalnia Wykonawcy od odpowiedzialności za ich dokładność.</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Decyzje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dotyczące akceptacji lub odrzucenia materiałów i elementów robót będą oparte na wymaganiach określonych w dokumentach umowy, dokumentacji projektowej i w SST, a także w normach i wytycznych. Przy podejmowaniu decyzji Inżynier/Kierownik projektu uwzględni wyniki badań materiałów i robót, rozrzuty normalnie występujące przy produkcji i przy badaniach materiałów, doświadczenia z przeszłości, wyniki badań naukowych oraz inne czynniki wpływające na rozważaną kwestię.</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Polecenia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powinny być wykonywane przez Wykonawcę w czasie określonym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pod groźbą zatrzymania robót. Skutki finansowe z tego tytułu poniesie Wykonawca.</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bookmarkStart w:id="20" w:name="_Toc416830703"/>
      <w:bookmarkStart w:id="21" w:name="_Toc6881284"/>
      <w:bookmarkStart w:id="22" w:name="_Toc9229978"/>
      <w:r w:rsidRPr="007078D3">
        <w:rPr>
          <w:rFonts w:ascii="Times New Roman" w:hAnsi="Times New Roman" w:cs="Times New Roman"/>
          <w:szCs w:val="20"/>
        </w:rPr>
        <w:t>6</w:t>
      </w:r>
      <w:r w:rsidR="00385A32" w:rsidRPr="007078D3">
        <w:rPr>
          <w:rFonts w:ascii="Times New Roman" w:hAnsi="Times New Roman" w:cs="Times New Roman"/>
          <w:szCs w:val="20"/>
        </w:rPr>
        <w:t>. KONTROLA JAKOŚCI ROBÓT</w:t>
      </w:r>
      <w:bookmarkEnd w:id="20"/>
      <w:bookmarkEnd w:id="21"/>
      <w:bookmarkEnd w:id="22"/>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6.1. Program zapewnienia jakości </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jest zobowiązany opracować i przedstawić do akceptacji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program zapewnienia jakości. W programie zapewnienia jakości Wykonawca powinien określić, zamierzony sposób wykonywania robót, możliwości techniczne, kadrowe i plan organizacji robót gwarantujący wykonanie robót zgodnie z dokumentacją projektową, SST oraz ustaleniami. </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Program zapewnienia jakości powinien zawierać:</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część ogólną opisującą:</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organizację wykonania robót, w tym terminy i sposób prowadzenia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organizację ruchu na budowie wraz z oznakowaniem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sposób zapewnienia bhp.,</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wykaz zespołów roboczych, ich kwalifikacje i przygotowanie praktyczne,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wykaz osób odpowiedzialnych za jakość i terminowość wykonania poszczególnych elementów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system (sposób i procedurę) proponowanej kontroli i sterowania jakością wykonywanych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wyposażenie w sprzęt i urządzenia do pomiarów i kontroli (opis laboratorium własnego lub laboratorium, któremu Wykonawca zamierza zlecić prowadzenie badań),</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sposób oraz formę gromadzenia wyników badań laboratoryjnych, zapis pomiarów, nastaw mechanizmów sterujących, a także wyciąganych wniosków i zastosowanych korekt w procesie technologicznym, proponowany sposób i formę przekazywania tych informacji Inżynierowi/Kierownikowi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część szczegółową opisującą dla każdego asortymentu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wykaz maszyn i urządzeń stosowanych na budowie z ich parametrami technicznymi oraz wyposażeniem w mechanizmy do sterowania i urządzenia pomiarowo-kontrolne,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rodzaje i ilość środków transportu oraz urządzeń do magazynowania i załadunku materiałów, spoiw, lepiszczy, kruszyw itp.,</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sposób zabezpieczenia i ochrony ładunków przed utratą ich właściwości w czasie transportu,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sposób i procedurę pomiarów i badań (rodzaj i częstotliwość, pobieranie próbek, legalizacja i sprawdzanie urządzeń, itp.) prowadzonych podczas dostaw materiałów, wytwarzania mieszanek i wykonywania poszczególnych elementów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sposób postępowania z materiałami i robotami nie odpowiadającymi wymaganiom.</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6.2. Zasady kontroli jakości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Celem kontroli robót będzie takie sterowanie ich przygotowaniem i wykonaniem, aby osiągnąć założoną jakość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Przed zatwierdzeniem systemu kontroli Inżynier/Kierownik projektu może zażądać od Wykonawcy przeprowadzenia badań w celu zademonstrowania, że poziom ich wykonywania jest zadowalający.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będzie przeprowadzać pomiary i badania materiałów oraz robót z częstotliwością zapewniającą stwierdzenie, że roboty wykonano zgodnie z wymaganiami zawartymi w dokumentacji projektowej i SST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Minimalne wymagania co do zakresu badań i ich częstotliwość są określone w SST, normach i wytycznych. W przypadku, gdy nie zostały one tam określone, Inżynier/Kierownik projektu ustali jaki zakres kontroli jest konieczny, aby zapewnić wykonanie robót zgodnie z umową.</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dostarczy Inżynierowi/Kierownikowi projektu świadectwa, że wszystkie stosowane urządzenia i sprzęt badawczy posiadają ważną legalizację, zostały prawidłowo wykalibrowane i odpowiadają wymaganiom norm określających procedury badań.</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Inżynier/Kierownik projektu będzie mieć nieograniczony dostęp do pomieszczeń laboratoryjnych, w celu ich inspekcji.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Inżynier/Kierownik projektu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Inżynier/Kierownik projektu natychmiast wstrzyma użycie do robót badanych materiałów i dopuści je do użycia dopiero wtedy, gdy niedociągnięcia w pracy laboratorium Wykonawcy zostaną usunięte i stwierdzona zostanie odpowiednia jakość tych materiałów.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Wszystkie koszty związane z organizowaniem i prowadzeniem badań materiałów ponosi Wykonawca.</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6.3. Pobieranie próbek</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Próbki będą pobierane losowo. Zaleca się stosowanie statystycznych metod pobierania próbek, opartych na zasadzie, że wszystkie jednostkowe elementy produkcji mogą być z jednakowym prawdopodobieństwem wytypowane do badań.</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Inżynier/Kierownik projektu będzie mieć zapewnioną możliwość udziału w pobieraniu próbek.</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Pojemniki do pobierania próbek będą dostarczone przez Wykonawcę i zatwierdzone przez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Próbki dostarczone przez Wykonawcę do badań wykonywanych przez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 projektu będą odpowiednio opisane i oznakowane, w sposób zaakceptowany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Na zlecenie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Wykonawca będzie przeprowadzać dodatkowe badania tych materiałów, które budzą wątpliwości co do jakości, o ile kwestionowane materiały nie zostaną przez Wykonawcę usunięte lub ulepszone z </w:t>
      </w:r>
      <w:r w:rsidRPr="007078D3">
        <w:rPr>
          <w:rFonts w:ascii="Times New Roman" w:hAnsi="Times New Roman" w:cs="Times New Roman"/>
          <w:szCs w:val="20"/>
        </w:rPr>
        <w:lastRenderedPageBreak/>
        <w:t>własnej woli. Koszty tych dodatkowych badań pokrywa Wykonawca tylko w przypadku stwierdzenia usterek; w przeciwnym przypadku koszty te pokrywa Zamawiający.</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6.4. Badania i pomiary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Wszystkie badania i pomiary będą przeprowadzone zgodnie z wymaganiami norm. W przypadku, gdy normy nie obejmują jakiegokolwiek badania wymaganego w SST, stosować można wytyczne krajowe, albo inne procedury, zaakceptowane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Przed przystąpieniem do pomiarów lub badań, Wykonawca powiadomi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o rodzaju, miejscu i terminie pomiaru lub badania. Po wykonaniu pomiaru lub badania, Wykonawca przedstawi na piśmie ich wyniki do akceptacji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6.5. Raporty z badań</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Wykonawca będzie przekazywać Inżynierowi/Kierownikowi projektu kopie raportów z wynikami badań jak najszybciej, nie później jednak niż w terminie określonym w programie zapewnienia jakości.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Wyniki badań (kopie) będą przekazywane Inżynierowi/Kierownikowi projektu na formularzach według dostarczonego przez niego wzoru lub innych, przez niego zaaprobowanych.</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6.6. Badania prowadzone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Inżynier/Kierownik projektu jest uprawniony do dokonywania kontroli, pobierania próbek i badania materiałów w miejscu ich wytwarzania/pozyskiwania, a Wykonawca i producent materiałów powinien udzielić mu niezbędnej pomocy.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Inżynier/Kierownik projektu, dokonując weryfikacji systemu kontroli robót prowadzonego przez Wykonawcę, poprzez między innymi swoje badania, będzie oceniać zgodność materiałów i robót z wymaganiami SST na podstawie wyników własnych badań kontrolnych jak i wyników badań dostarczonych przez Wykonawcę.</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Inżynier/Kierownik projektu powinien pobierać próbki materiałów i prowadzić badania niezależnie od Wykonawcy, na swój koszt. Jeżeli wyniki tych badań wykażą, że raporty Wykonawcy są niewiarygodne, to Inżynier/Kierownik projektu oprze się wyłącznie na własnych badaniach przy ocenie zgodności materiałów i robót z dokumentacją projektową i SST. Może również zlecić, sam lub poprzez Wykonawcę, przeprowadzenie powtórnych lub dodatkowych badań niezależnemu laboratorium. W takim przypadku całkowite koszty powtórnych lub dodatkowych badań i pobierania próbek poniesione zostaną przez Wykonawcę.</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6.7. Certyfikaty i deklaracje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Inżynier/Kierownik projektu może dopuścić do użycia tylko te materiały, które posiadają:</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1.     certyfikat na znak bezpieczeństwa wykazujący, że zapewniono zgodność z kryteriami technicznymi określonymi na podstawie Polskich Norm, aprobat technicznych oraz właściwych przepisów i dokumentów technicznych,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     deklarację zgodności lub certyfikat zgodności z:</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Polską Normą lub</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aprobatą techniczną, w przypadku wyrobów, dla których nie ustanowiono Polskiej Normy, jeżeli nie są objęte certyfikacją określoną w pkt 1</w:t>
      </w:r>
      <w:r w:rsidR="00385A32" w:rsidRPr="007078D3">
        <w:rPr>
          <w:rFonts w:ascii="Times New Roman" w:hAnsi="Times New Roman" w:cs="Times New Roman"/>
          <w:szCs w:val="20"/>
        </w:rPr>
        <w:t xml:space="preserve"> </w:t>
      </w:r>
      <w:r w:rsidRPr="007078D3">
        <w:rPr>
          <w:rFonts w:ascii="Times New Roman" w:hAnsi="Times New Roman" w:cs="Times New Roman"/>
          <w:szCs w:val="20"/>
        </w:rPr>
        <w:t>i które spełniają wymogi SST.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przypadku materiałów, dla których ww. dokumenty są wymagane przez SST, każda partia dostarczona do robót będzie posiadać te dokumenty, określające w sposób jednoznaczny jej cechy.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Produkty przemysłowe muszą posiadać ww. dokumenty wydane przez producenta, a w razie potrzeby poparte wynikami badań wykonanych przez niego. Kopie wyników tych badań będą dostarczone przez Wykonawcę Inżynierowi/Kierownikowi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Jakiekolwiek materiały, które nie spełniają tych wymagań będą odrzucone.</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6.8. Dokumenty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(1) Dziennik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Dziennik budowy jest wymaganym dokumentem prawnym obowiązującym Zamawiającego i Wykonawcę w okresie od przekazania Wykonawcy terenu budowy do końca okresu gwarancyjnego. Odpowiedzialność za prowadzenie dziennika budowy zgodnie z obowiązującymi przepisami [2] spoczywa na Wykonawcy.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Zapisy w dzienniku budowy będą dokonywane na bieżąco i będą dotyczyć przebiegu robót, stanu bezpieczeństwa ludzi i mienia oraz technicznej i gospodarczej strony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Załączone do dziennika budowy protokoły i inne dokumenty będą oznaczone kolejnym numerem załącznika i opatrzone datą i podpisem Wykonawcy 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Do dziennika budowy należy wpisywać w szczególności: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datę przekazania Wykonawcy terenu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datę przekazania przez Zamawiającego dokumentacji projektowej,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datę uzgodnienia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programu zapewnienia jakości i harmonogramów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terminy rozpoczęcia i zakończenia poszczególnych elementów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przebieg robót, trudności i przeszkody w ich prowadzeniu, okresy i przyczyny przerw w robotach,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uwagi i polecenia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lastRenderedPageBreak/>
        <w:t>daty zarządzenia wstrzymania robót, z podaniem powodu,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zgłoszenia i daty odbiorów robót zanikających i ulegających zakryciu, częściowych i ostatecznych odbiorów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wyjaśnienia, uwagi i propozycje Wykonawcy,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stan pogody i temperaturę powietrza w okresie wykonywania robót podlegających ograniczeniom lub wymaganiom szczególnym w związku z warunkami klimatycznymi,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zgodność rzeczywistych warunków geotechnicznych z ich opisem w dokumentacji projektowej,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dane dotyczące czynności geodezyjnych (pomiarowych) dokonywanych przed i w trakcie wykonywania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dane dotyczące sposobu wykonywania zabezpieczenia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dane dotyczące jakości materiałów, pobierania próbek oraz wyniki przeprowadzonych badań z podaniem, kto je przeprowadzał,</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wyniki prób poszczególnych elementów budowli z podaniem, kto je przeprowadzał,</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inne istotne informacje o przebiegu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Propozycje, uwagi i wyjaśnienia Wykonawcy, wpisane do dziennika budowy będą przedłożone Inżynierowi/Kierownikowi projektu do ustosunkowania się.</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Decyzje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wpisane do dziennika budowy Wykonawca podpisuje z zaznaczeniem ich przyjęcia lub zajęciem stanowiska.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Wpis projektanta do dziennika budowy obliguje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do ustosunkowania się. Projektant nie jest jednak stroną umowy i nie ma uprawnień do wydawania poleceń Wykonawcy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 Książka obmiarów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Książka obmiarów stanowi dokument pozwalający na rozliczenie faktycznego postępu każdego z elementów robót. Obmiary wykonanych robót przeprowadza się w sposób ciągły w jednostkach przyjętych w kosztorysie i wpisuje do książki obmiarów.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(3) Dokumenty laboratoryjne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(4) Pozostałe dokumenty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Do dokumentów budowy zalicza się, oprócz wymienionych w punktach (1) - (3) następujące dokumenty: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pozwolenie na realizację zadania budowlanego,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protokoły przekazania terenu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c)     umowy cywilno-prawne z osobami trzecimi i inne umowy cywilno-prawne,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d)    protokoły odbioru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e)     protokoły z narad i ustaleń,</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f)      korespondencję na budowie.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(5) Przechowywanie dokumentów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Dokumenty budowy będą przechowywane na terenie budowy w miejscu odpowiednio zabezpieczonym.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Zaginięcie któregokolwiek z dokumentów budowy spowoduje jego natychmiastowe odtworzenie w formie przewidzianej prawem.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Wszelkie dokumenty budowy będą zawsze dostępne dla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i przedstawiane do wglądu na życzenie Zamawiającego.</w:t>
      </w:r>
    </w:p>
    <w:p w:rsidR="00385A32" w:rsidRPr="007078D3" w:rsidRDefault="00385A32" w:rsidP="00ED04E8">
      <w:pPr>
        <w:rPr>
          <w:rFonts w:ascii="Times New Roman" w:hAnsi="Times New Roman" w:cs="Times New Roman"/>
          <w:szCs w:val="20"/>
        </w:rPr>
      </w:pPr>
      <w:bookmarkStart w:id="23" w:name="_Toc416830704"/>
      <w:bookmarkStart w:id="24" w:name="_Toc6881285"/>
      <w:bookmarkStart w:id="25" w:name="_Toc9229979"/>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7</w:t>
      </w:r>
      <w:r w:rsidR="00385A32" w:rsidRPr="007078D3">
        <w:rPr>
          <w:rFonts w:ascii="Times New Roman" w:hAnsi="Times New Roman" w:cs="Times New Roman"/>
          <w:szCs w:val="20"/>
        </w:rPr>
        <w:t>. OBMIAR ROBÓT</w:t>
      </w:r>
      <w:bookmarkEnd w:id="23"/>
      <w:bookmarkEnd w:id="24"/>
      <w:bookmarkEnd w:id="25"/>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7.1. Ogólne zasady obmiaru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Obmiar robót będzie określać faktyczny zakres wykonywanych robót zgodnie z dokumentacją projektową i SST, w jednostkach ustalonych w kosztorysie.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Obmiaru robót dokonuje Wykonawca po pisemnym powiadomieniu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o zakresie obmierzanych robót i terminie obmiaru, co najmniej na 3 dni przed tym terminem.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Wyniki obmiaru będą wpisane do książki obmiarów.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Jakikolwiek błąd lub przeoczenie (opuszczenie) w ilościach podanych w ślepym kosztorysie lub gdzie indziej w SST nie zwalnia Wykonawcy od obowiązku ukończenia wszystkich robót. Błędne dane zostaną poprawione wg instrukcji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na piśmie.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Obmiar gotowych robót będzie przeprowadzony z częstością wymaganą do celu miesięcznej płatności na rzecz Wykonawcy lub w innym czasie określonym w umowie lub oczekiwanym przez Wykonawcę 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7.2. Zasady określania ilości robót i materiałów</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Długości i odległości pomiędzy wyszczególnionymi punktami skrajnymi będą obmierzone poziomo wzdłuż linii osiowej.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Jeśli SST właściwe dla danych robót nie wymagają tego inaczej, objętości będą wyliczone w m</w:t>
      </w:r>
      <w:r w:rsidRPr="007078D3">
        <w:rPr>
          <w:rFonts w:ascii="Times New Roman" w:hAnsi="Times New Roman" w:cs="Times New Roman"/>
          <w:szCs w:val="20"/>
          <w:vertAlign w:val="superscript"/>
        </w:rPr>
        <w:t>3</w:t>
      </w:r>
      <w:r w:rsidRPr="007078D3">
        <w:rPr>
          <w:rFonts w:ascii="Times New Roman" w:hAnsi="Times New Roman" w:cs="Times New Roman"/>
          <w:szCs w:val="20"/>
        </w:rPr>
        <w:t xml:space="preserve"> jako długość pomnożona przez średni przekrój.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Ilości, które mają być obmierzone wagowo, będą ważone w tonach lub kilogramach zgodnie z wymaganiami SST.</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7.3. Urządzenia i sprzęt pomiarowy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lastRenderedPageBreak/>
        <w:tab/>
        <w:t xml:space="preserve">Wszystkie urządzenia i sprzęt pomiarowy, stosowany w czasie obmiaru robót będą zaakceptowane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Urządzenia i sprzęt pomiarowy zostaną dostarczone przez Wykonawcę. Jeżeli urządzenia te lub sprzęt wymagają badań atestujących to Wykonawca będzie posiadać ważne świadectwa legalizacji.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Wszystkie urządzenia pomiarowe będą przez Wykonawcę utrzymywane w dobrym stanie, w całym okresie trwania robót.</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7.4. Wagi i zasady ważenia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Wykonawca dostarczy i zainstaluje urządzenia wagowe odpowiadające odnośnym wymaganiom SST Będzie utrzymywać to wyposażenie zapewniając w sposób ciągły zachowanie dokładności wg norm zatwierdzonych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7.5. Czas przeprowadzenia obmiaru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Obmiary będą przeprowadzone przed częściowym lub ostatecznym odbiorem odcinków robót, a także w przypadku występowania dłuższej przerwy w robotach.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Obmiar robót zanikających przeprowadza się w czasie ich wykonywania.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Obmiar robót podlegających zakryciu przeprowadza się przed ich zakryciem.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Roboty pomiarowe do obmiaru oraz nieodzowne obliczenia będą wykonane w sposób zrozumiały i jednoznaczny.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Inżynierem/Kierownikiem projektu.</w:t>
      </w:r>
    </w:p>
    <w:p w:rsidR="00385A32" w:rsidRPr="007078D3" w:rsidRDefault="00385A32" w:rsidP="00ED04E8">
      <w:pPr>
        <w:rPr>
          <w:rFonts w:ascii="Times New Roman" w:hAnsi="Times New Roman" w:cs="Times New Roman"/>
          <w:szCs w:val="20"/>
        </w:rPr>
      </w:pPr>
      <w:bookmarkStart w:id="26" w:name="_Toc416830705"/>
      <w:bookmarkStart w:id="27" w:name="_Toc6881286"/>
      <w:bookmarkStart w:id="28" w:name="_Toc9229980"/>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8. </w:t>
      </w:r>
      <w:r w:rsidR="00385A32" w:rsidRPr="007078D3">
        <w:rPr>
          <w:rFonts w:ascii="Times New Roman" w:hAnsi="Times New Roman" w:cs="Times New Roman"/>
          <w:szCs w:val="20"/>
        </w:rPr>
        <w:t>ODBIÓR ROBÓT</w:t>
      </w:r>
      <w:bookmarkEnd w:id="26"/>
      <w:bookmarkEnd w:id="27"/>
      <w:bookmarkEnd w:id="28"/>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8.1. Rodzaje odbiorów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zależności od ustaleń odpowiednich SST, roboty podlegają następującym etapom odbioru: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odbiorowi robót zanikających i ulegających zakryciu,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odbiorowi częściowemu,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c)     odbiorowi ostatecznemu,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d)    odbiorowi pogwarancyjnemu.</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8.2. Odbiór robót zanikających i ulegających zakryciu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Odbiór robót zanikających i ulegających zakryciu polega na finalnej ocenie ilości i jakości wykonywanych robót, które w dalszym procesie realizacji ulegną zakryciu.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Odbiór robót zanikających i ulegających zakryciu będzie dokonany w czasie umożliwiającym wykonanie ewentualnych korekt i poprawek bez hamowania ogólnego postępu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Odbioru robót dokonuje Inżynier/Kierownik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Gotowość danej części robót do odbioru zgłasza Wykonawca wpisem do dziennika budowy i jednoczesnym powiadomieniem </w:t>
      </w:r>
      <w:r w:rsidR="00D51F32" w:rsidRPr="007078D3">
        <w:rPr>
          <w:rFonts w:ascii="Times New Roman" w:hAnsi="Times New Roman" w:cs="Times New Roman"/>
          <w:szCs w:val="20"/>
        </w:rPr>
        <w:t>Inspektora</w:t>
      </w:r>
      <w:r w:rsidRPr="007078D3">
        <w:rPr>
          <w:rFonts w:ascii="Times New Roman" w:hAnsi="Times New Roman" w:cs="Times New Roman"/>
          <w:szCs w:val="20"/>
        </w:rPr>
        <w:t xml:space="preserve">/Kierownika projektu. Odbiór będzie przeprowadzony niezwłocznie, nie później jednak niż w ciągu 3 dni od daty zgłoszenia wpisem do dziennika budowy i powiadomienia o tym fakcie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Jakość i ilość robót ulegających zakryciu ocenia Inżynier/Kierownik projektu na podstawie dokumentów zawierających komplet wyników badań laboratoryjnych i w oparciu o przeprowadzone pomiary, w konfrontacji z dokumentacją projektową, SST i uprzednimi ustaleniami.</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8.3. Odbiór częściowy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Odbiór  częściowy polega na ocenie ilości i jakości wykonanych części robót. Odbioru częściowego robót dokonuje się wg zasad jak przy odbiorze ostatecznym robót. Odbioru robót dokonuje Inżynier/Kierownik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8.4. Odbiór ostateczny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8.4.1.</w:t>
      </w:r>
      <w:r w:rsidRPr="007078D3">
        <w:rPr>
          <w:rFonts w:ascii="Times New Roman" w:hAnsi="Times New Roman" w:cs="Times New Roman"/>
          <w:szCs w:val="20"/>
        </w:rPr>
        <w:t xml:space="preserve"> Zasady odbioru ostatecznego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Odbiór ostateczny polega na finalnej ocenie rzeczywistego wykonania robót w odniesieniu do ich ilości, jakości i wartości.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Całkowite zakończenie robót oraz gotowość do odbioru ostatecznego będzie stwierdzona przez Wykonawcę wpisem do dziennika budowy z bezzwłocznym powiadomieniem na piśmie o tym fakcie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Odbiór ostateczny robót nastąpi w terminie ustalonym w dokumentach umowy, licząc od dnia potwierdzenia przez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zakończenia robót i przyjęcia dokumentów, o których mowa w punkcie 8.4.2.</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Odbioru ostatecznego robót dokona komisja wyznaczona przez Zamawiającego w obecności </w:t>
      </w:r>
      <w:r w:rsidR="00D51F32" w:rsidRPr="007078D3">
        <w:rPr>
          <w:rFonts w:ascii="Times New Roman" w:hAnsi="Times New Roman" w:cs="Times New Roman"/>
          <w:szCs w:val="20"/>
        </w:rPr>
        <w:t>Inspektora</w:t>
      </w:r>
      <w:r w:rsidRPr="007078D3">
        <w:rPr>
          <w:rFonts w:ascii="Times New Roman" w:hAnsi="Times New Roman" w:cs="Times New Roman"/>
          <w:szCs w:val="20"/>
        </w:rPr>
        <w:t>/Kierownika projektu i Wykonawcy. Komisja odbierająca roboty dokona ich oceny jakościowej na podstawie przedłożonych dokumentów, wyników badań i pomiarów, ocenie wizualnej oraz zgodności wykonania robót z dokumentacją projektową i SST.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toku odbioru ostatecznego robót komisja zapozna się z realizacją ustaleń przyjętych w trakcie odbiorów robót zanikających i ulegających zakryciu, zwłaszcza w zakresie wykonania robót uzupełniających i robót poprawkowych.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przypadkach niewykonania wyznaczonych robót poprawkowych lub robót uzupełniających w warstwie ścieralnej lub robotach wykończeniowych, komisja przerwie swoje czynności i ustali nowy termin odbioru ostatecznego.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 xml:space="preserve">W przypadku stwierdzenia przez komisję, że jakość wykonywanych robót w poszczególnych asortymentach nieznacznie odbiega od wymaganej dokumentacją projektową i SST z uwzględnieniem tolerancji i nie ma większego wpływu na cechy </w:t>
      </w:r>
      <w:r w:rsidRPr="007078D3">
        <w:rPr>
          <w:rFonts w:ascii="Times New Roman" w:hAnsi="Times New Roman" w:cs="Times New Roman"/>
          <w:szCs w:val="20"/>
        </w:rPr>
        <w:lastRenderedPageBreak/>
        <w:t>eksploatacyjne obiektu i bezpieczeństwo ruchu, komisja dokona potrąceń, oceniając pomniejszoną wartość wykonywanych robót w stosunku do wymagań przyjętych w dokumentach umowy.</w:t>
      </w:r>
    </w:p>
    <w:p w:rsidR="00385A32" w:rsidRPr="007078D3" w:rsidRDefault="00385A32" w:rsidP="00ED04E8">
      <w:pPr>
        <w:rPr>
          <w:rFonts w:ascii="Times New Roman" w:hAnsi="Times New Roman" w:cs="Times New Roman"/>
          <w:bCs/>
          <w:szCs w:val="20"/>
        </w:rPr>
      </w:pPr>
      <w:bookmarkStart w:id="29" w:name="_Toc412518599"/>
    </w:p>
    <w:p w:rsidR="00FB48BA" w:rsidRPr="007078D3" w:rsidRDefault="00FB48BA" w:rsidP="00ED04E8">
      <w:pPr>
        <w:rPr>
          <w:rFonts w:ascii="Times New Roman" w:hAnsi="Times New Roman" w:cs="Times New Roman"/>
          <w:szCs w:val="20"/>
        </w:rPr>
      </w:pPr>
      <w:r w:rsidRPr="007078D3">
        <w:rPr>
          <w:rFonts w:ascii="Times New Roman" w:hAnsi="Times New Roman" w:cs="Times New Roman"/>
          <w:bCs/>
          <w:szCs w:val="20"/>
        </w:rPr>
        <w:t>8.4.2.</w:t>
      </w:r>
      <w:r w:rsidRPr="007078D3">
        <w:rPr>
          <w:rFonts w:ascii="Times New Roman" w:hAnsi="Times New Roman" w:cs="Times New Roman"/>
          <w:szCs w:val="20"/>
        </w:rPr>
        <w:t xml:space="preserve"> Dokumenty do odbioru ostatecznego</w:t>
      </w:r>
      <w:bookmarkEnd w:id="29"/>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Podstawowym dokumentem do dokonania odbioru ostatecznego robót jest protokół odbioru ostatecznego robót sporządzony wg wzoru ustalonego przez Zamawiającego.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Do odbioru ostatecznego Wykonawca jest zobowiązany przygotować następujące dokumenty: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1.       dokumentację projektową podstawową z naniesionymi zmianami oraz dodatkową, jeśli została sporządzona w trakcie realizacji umowy,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       szczegółowe specyfikacje techniczne (podstawowe z dokumentów umowy i ew. uzupełniające lub zamienne),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3.       recepty i ustalenia technologiczne,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4.       dzienniki budowy i książki obmiarów (oryginały),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5.       wyniki pomiarów kontrolnych oraz badań i oznaczeń laboratoryjnych, zgodne z SST i ew. PZJ,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6.       deklaracje zgodności lub certyfikaty zgodności wbudowanych materiałów zgodnie z SST i ew. PZJ,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7.       opinię technologiczną sporządzoną na podstawie wszystkich wyników badań i pomiarów załączonych do dokumentów odbioru, wykonanych zgodnie z SST i PZJ,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8.       rysunki (dokumentacje) na wykonanie robót towarzyszących (np. na przełożenie linii telefonicznej, energetycznej, gazowej, oświetlenia itp.) oraz protokoły odbioru i przekazania tych robót właścicielom urządzeń,</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9.       geodezyjną inwentaryzację powykonawczą robót i sieci uzbrojenia terenu,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10.    kopię mapy zasadniczej powstałej w wyniku geodezyjnej inwentaryzacji powykonawczej.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 przypadku, gdy wg komisji, roboty pod względem przygotowania dokumentacyjnego nie będą gotowe do odbioru ostatecznego, komisja w porozumieniu z Wykonawcą wyznaczy ponowny termin odbioru ostatecznego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Wszystkie zarządzone przez komisję roboty poprawkowe lub uzupełniające będą zestawione wg wzoru ustalonego przez Zamawiającego.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Termin wykonania robót poprawkowych i robót uzupełniających wyznaczy komisja.</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8.5. Odbiór pogwarancyjny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Odbiór pogwarancyjny polega na ocenie wykonanych robót związanych z usunięciem wad stwierdzonych przy odbiorze ostatecznym i zaistniałych w okresie gwarancyjnym.</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Odbiór pogwarancyjny będzie dokonany na podstawie oceny wizualnej obiektu z uwzględnieniem zasad opisanych w punkcie 8.4 „Odbiór ostateczny robót”.</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bookmarkStart w:id="30" w:name="_Toc416830706"/>
      <w:bookmarkStart w:id="31" w:name="_Toc6881287"/>
      <w:bookmarkStart w:id="32" w:name="_Toc9229981"/>
      <w:r w:rsidRPr="007078D3">
        <w:rPr>
          <w:rFonts w:ascii="Times New Roman" w:hAnsi="Times New Roman" w:cs="Times New Roman"/>
          <w:szCs w:val="20"/>
        </w:rPr>
        <w:t xml:space="preserve">9. </w:t>
      </w:r>
      <w:r w:rsidR="00385A32" w:rsidRPr="007078D3">
        <w:rPr>
          <w:rFonts w:ascii="Times New Roman" w:hAnsi="Times New Roman" w:cs="Times New Roman"/>
          <w:szCs w:val="20"/>
        </w:rPr>
        <w:t>PODSTAWA PŁATNOŚCI</w:t>
      </w:r>
      <w:bookmarkEnd w:id="30"/>
      <w:bookmarkEnd w:id="31"/>
      <w:bookmarkEnd w:id="32"/>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9.1. Ustalenia ogólne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Podstawą płatności jest cena jednostkowa skalkulowana przez Wykonawcę za jednostkę obmiarową ustaloną dla danej pozycji kosztorysu.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Dla pozycji kosztorysowych wycenionych ryczałtowo podstawą płatności jest wartość (kwota) podana przez Wykonawcę w danej pozycji kosztorysu.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Cena jednostkowa lub kwota ryczałtowa pozycji kosztorysowej będzie uwzględniać wszystkie czynności, wymagania i badania składające się na jej wykonanie, określone dla tej roboty w SST i w dokumentacji projektowej.</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Ceny jednostkowe lub kwoty ryczałtowe robót będą obejmować:</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robociznę bezpośrednią wraz z towarzyszącymi kosztami,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wartość zużytych materiałów wraz z kosztami zakupu, magazynowania, ewentualnych ubytków i transportu na teren budowy,</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wartość pracy sprzętu wraz z towarzyszącymi kosztami,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koszty pośrednie, zysk kalkulacyjny i ryzyko,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podatki obliczone zgodnie z obowiązującymi przepisami.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Do cen jednostkowych nie należy wliczać podatku VAT.</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9.2. Warunki umowy i wymagania ogólne D-00.00.00</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Koszt dostosowania się do wymagań warunków umowy i wymagań ogólnych zawartych w D-00.00.00 obejmuje wszystkie warunki określone w ww. dokumentach, a nie wyszczególnione w kosztorysie.</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9.3. Objazdy, przejazdy i organizacja ruchu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Koszt  wybudowania objazdów/przejazdów i organizacji ruchu obejmuje: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opracowanie oraz uzgodnienie z Inżynierem/Kierownikiem projektu i odpowiednimi instytucjami projektu organizacji ruchu na czas trwania budowy, wraz z dostarczeniem kopii projektu Inżynierowi/Kierownikowi projektu i wprowadzaniem dalszych zmian i uzgodnień wynikających z postępu robót,</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ustawienie tymczasowego oznakowania i oświetlenia zgodnie z wymaganiami bezpieczeństwa ruchu,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(c)   opłaty/dzierżawy terenu,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(d)  przygotowanie terenu,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(e)   konstrukcję tymczasowej nawierzchni, ramp, chodników, krawężników, barier, oznakowań i drenażu,</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lastRenderedPageBreak/>
        <w:t>(f)    tymczasową przebudowę urządzeń obcych.</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Koszt utrzymania objazdów/przejazdów i organizacji ruchu obejmuje: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oczyszczanie, przestawienie, przykrycie i usunięcie tymczasowych oznakowań pionowych, poziomych, barier i świateł,</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utrzymanie płynności ruchu publicznego.</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b/>
        <w:t>Koszt likwidacji objazdów/przejazdów i organizacji ruchu obejmuje:</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(a)   usunięcie wbudowanych materiałów i oznakowania,</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(b)  doprowadzenie terenu do stanu pierwotnego.</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bookmarkStart w:id="33" w:name="_Toc416830707"/>
      <w:bookmarkStart w:id="34" w:name="_Toc6881288"/>
      <w:bookmarkStart w:id="35" w:name="_Toc9229982"/>
      <w:r w:rsidRPr="007078D3">
        <w:rPr>
          <w:rFonts w:ascii="Times New Roman" w:hAnsi="Times New Roman" w:cs="Times New Roman"/>
          <w:szCs w:val="20"/>
        </w:rPr>
        <w:t xml:space="preserve">10. </w:t>
      </w:r>
      <w:r w:rsidR="00385A32" w:rsidRPr="007078D3">
        <w:rPr>
          <w:rFonts w:ascii="Times New Roman" w:hAnsi="Times New Roman" w:cs="Times New Roman"/>
          <w:szCs w:val="20"/>
        </w:rPr>
        <w:t>PRZEPISY ZWIĄZANE</w:t>
      </w:r>
      <w:bookmarkEnd w:id="33"/>
      <w:bookmarkEnd w:id="34"/>
      <w:bookmarkEnd w:id="35"/>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1.     Ustawa z dnia 7 lipca 1994 r. - Prawo budowlane (Dz. U. Nr 89, poz. 414 z później</w:t>
      </w:r>
      <w:r w:rsidRPr="007078D3">
        <w:rPr>
          <w:rFonts w:ascii="Times New Roman" w:hAnsi="Times New Roman" w:cs="Times New Roman"/>
          <w:szCs w:val="20"/>
        </w:rPr>
        <w:softHyphen/>
        <w:t>szymi zmianami).</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2.     Zarządzenie Ministra Infrastruktury z dnia 19 listopada 2001 r. w sprawie dziennika budowy, montażu i rozbiórki oraz tablicy informacyjnej (Dz. U. Nr 138, poz. 1555).</w:t>
      </w: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3.     Ustawa z dnia 21 marca 1985 r. o drogach publicznych (Dz. U. Nr 14, poz. 60 z późniejszymi zmianami).</w:t>
      </w:r>
    </w:p>
    <w:p w:rsidR="00FB48BA" w:rsidRPr="007078D3" w:rsidRDefault="00FB48BA" w:rsidP="00ED04E8">
      <w:pPr>
        <w:rPr>
          <w:rFonts w:ascii="Times New Roman" w:hAnsi="Times New Roman" w:cs="Times New Roman"/>
          <w:szCs w:val="20"/>
        </w:rPr>
      </w:pPr>
    </w:p>
    <w:p w:rsidR="00385A32" w:rsidRPr="007078D3" w:rsidRDefault="00385A32"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rPr>
          <w:rFonts w:ascii="Times New Roman" w:hAnsi="Times New Roman" w:cs="Times New Roman"/>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95577F" w:rsidRPr="007078D3" w:rsidRDefault="0095577F"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Default="00D51F32"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825DC9" w:rsidRDefault="00825DC9"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34055A" w:rsidRPr="007078D3" w:rsidRDefault="0034055A" w:rsidP="00ED04E8">
      <w:pPr>
        <w:pStyle w:val="Bezodstpw"/>
        <w:spacing w:line="240" w:lineRule="auto"/>
        <w:rPr>
          <w:rFonts w:ascii="Times New Roman" w:hAnsi="Times New Roman" w:cs="Times New Roman"/>
          <w:sz w:val="20"/>
          <w:szCs w:val="20"/>
          <w:lang w:eastAsia="pl-PL"/>
        </w:rPr>
      </w:pPr>
      <w:bookmarkStart w:id="36" w:name="_Toc221170386"/>
      <w:r w:rsidRPr="007078D3">
        <w:rPr>
          <w:rFonts w:ascii="Times New Roman" w:hAnsi="Times New Roman" w:cs="Times New Roman"/>
          <w:sz w:val="20"/>
          <w:szCs w:val="20"/>
          <w:lang w:eastAsia="pl-PL"/>
        </w:rPr>
        <w:t>D –  01.01.01a ODTWORZENIE  TRASY  I  PUNKTÓW WYSOKOŚCIOWYCH  ORAZ  SPORZĄDZENIE INWENTARYZACJI  POWYKONAWCZEJ  DROGI</w:t>
      </w:r>
      <w:bookmarkEnd w:id="36"/>
    </w:p>
    <w:p w:rsidR="00385A32" w:rsidRPr="007078D3" w:rsidRDefault="00385A32" w:rsidP="00ED04E8">
      <w:pPr>
        <w:pStyle w:val="Nagwek1"/>
        <w:spacing w:before="0" w:beforeAutospacing="0" w:after="0" w:afterAutospacing="0"/>
        <w:rPr>
          <w:rFonts w:ascii="Times New Roman" w:hAnsi="Times New Roman"/>
          <w:szCs w:val="20"/>
        </w:rPr>
      </w:pPr>
      <w:bookmarkStart w:id="37" w:name="_Hlk160535286"/>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1. WSTĘP</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1.1.Przedmiot </w:t>
      </w:r>
      <w:r w:rsidR="00855643" w:rsidRPr="007078D3">
        <w:rPr>
          <w:rFonts w:ascii="Times New Roman" w:hAnsi="Times New Roman" w:cs="Times New Roman"/>
          <w:szCs w:val="20"/>
        </w:rPr>
        <w:t>SST</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b/>
          <w:szCs w:val="20"/>
        </w:rPr>
        <w:tab/>
      </w:r>
      <w:r w:rsidRPr="007078D3">
        <w:rPr>
          <w:rFonts w:ascii="Times New Roman" w:hAnsi="Times New Roman" w:cs="Times New Roman"/>
          <w:szCs w:val="20"/>
        </w:rPr>
        <w:t>Przedmiotem niniejszej ogólnej specyfikacji technicznej (</w:t>
      </w:r>
      <w:r w:rsidR="00855643" w:rsidRPr="007078D3">
        <w:rPr>
          <w:rFonts w:ascii="Times New Roman" w:hAnsi="Times New Roman" w:cs="Times New Roman"/>
          <w:szCs w:val="20"/>
        </w:rPr>
        <w:t>SST</w:t>
      </w:r>
      <w:r w:rsidRPr="007078D3">
        <w:rPr>
          <w:rFonts w:ascii="Times New Roman" w:hAnsi="Times New Roman" w:cs="Times New Roman"/>
          <w:szCs w:val="20"/>
        </w:rPr>
        <w:t>) są wymagania dotyczące wykonania i odbioru robót związanych z odtworzeniem trasy drogowej i jej punktów wysokościowych.</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1.2. Zakres stosowania </w:t>
      </w:r>
      <w:r w:rsidR="00855643" w:rsidRPr="007078D3">
        <w:rPr>
          <w:rFonts w:ascii="Times New Roman" w:hAnsi="Times New Roman" w:cs="Times New Roman"/>
          <w:szCs w:val="20"/>
        </w:rPr>
        <w:t>SST</w:t>
      </w:r>
    </w:p>
    <w:p w:rsidR="00385A32" w:rsidRPr="007078D3" w:rsidRDefault="00385A32" w:rsidP="00ED04E8">
      <w:pPr>
        <w:rPr>
          <w:rFonts w:ascii="Times New Roman" w:hAnsi="Times New Roman" w:cs="Times New Roman"/>
          <w:szCs w:val="20"/>
        </w:rPr>
      </w:pPr>
    </w:p>
    <w:p w:rsidR="00385A32" w:rsidRPr="007078D3" w:rsidRDefault="00385A32" w:rsidP="00ED04E8">
      <w:pPr>
        <w:rPr>
          <w:rFonts w:ascii="Times New Roman" w:hAnsi="Times New Roman" w:cs="Times New Roman"/>
          <w:szCs w:val="20"/>
        </w:rPr>
      </w:pPr>
      <w:r w:rsidRPr="007078D3">
        <w:rPr>
          <w:rFonts w:ascii="Times New Roman" w:hAnsi="Times New Roman" w:cs="Times New Roman"/>
          <w:szCs w:val="20"/>
        </w:rPr>
        <w:tab/>
        <w:t>Szczegółowa specyfikacja techniczna dotyczy robót wyszczególnionych w punkcie 1.3.</w:t>
      </w:r>
    </w:p>
    <w:p w:rsidR="00385A32" w:rsidRPr="007078D3" w:rsidRDefault="00385A32" w:rsidP="00ED04E8">
      <w:pPr>
        <w:rPr>
          <w:rFonts w:ascii="Times New Roman" w:hAnsi="Times New Roman" w:cs="Times New Roman"/>
          <w:szCs w:val="20"/>
        </w:rPr>
      </w:pPr>
    </w:p>
    <w:p w:rsidR="00FB48BA" w:rsidRPr="007078D3" w:rsidRDefault="00FB48BA" w:rsidP="00ED04E8">
      <w:pPr>
        <w:rPr>
          <w:rFonts w:ascii="Times New Roman" w:hAnsi="Times New Roman" w:cs="Times New Roman"/>
          <w:szCs w:val="20"/>
        </w:rPr>
      </w:pPr>
      <w:r w:rsidRPr="007078D3">
        <w:rPr>
          <w:rFonts w:ascii="Times New Roman" w:hAnsi="Times New Roman" w:cs="Times New Roman"/>
          <w:szCs w:val="20"/>
        </w:rPr>
        <w:t xml:space="preserve">1.3. Zakres robót objętych </w:t>
      </w:r>
      <w:r w:rsidR="00855643" w:rsidRPr="007078D3">
        <w:rPr>
          <w:rFonts w:ascii="Times New Roman" w:hAnsi="Times New Roman" w:cs="Times New Roman"/>
          <w:szCs w:val="20"/>
        </w:rPr>
        <w:t>SST</w:t>
      </w:r>
    </w:p>
    <w:p w:rsidR="00385A32" w:rsidRPr="007078D3" w:rsidRDefault="00385A32" w:rsidP="00ED04E8">
      <w:pPr>
        <w:rPr>
          <w:rFonts w:ascii="Times New Roman" w:hAnsi="Times New Roman" w:cs="Times New Roman"/>
          <w:szCs w:val="20"/>
        </w:rPr>
      </w:pP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Ustalenia zawarte w niniejszej specyfikacji dotyczą zasad prowadzenia robót związanych z wszystkim czynnościami mającymi na celu odtworzenie w terenie przebiegu trasy drogowej oraz położenia obiektów inżynierskich, a także wykonania inwentaryzacji geodezyjnej i kartograficznej drogi po jej wybudowaniu.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 zakres robót wchodzą:</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wyznaczenie sytuacyjne i wysokościowe punktów głównych osi trasy i punktów wysokościowych (reperów roboczych dowiązanych do reperów krajowych), z ich </w:t>
      </w:r>
      <w:r w:rsidRPr="007078D3">
        <w:rPr>
          <w:rStyle w:val="spelle"/>
          <w:rFonts w:ascii="Times New Roman" w:hAnsi="Times New Roman" w:cs="Times New Roman"/>
          <w:color w:val="000000"/>
          <w:szCs w:val="20"/>
        </w:rPr>
        <w:t>zastabilizowaniem</w:t>
      </w:r>
      <w:r w:rsidRPr="007078D3">
        <w:rPr>
          <w:rFonts w:ascii="Times New Roman" w:hAnsi="Times New Roman" w:cs="Times New Roman"/>
          <w:color w:val="000000"/>
          <w:szCs w:val="20"/>
        </w:rPr>
        <w:t>,</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zastabilizowanie</w:t>
      </w:r>
      <w:r w:rsidRPr="007078D3">
        <w:rPr>
          <w:rFonts w:ascii="Times New Roman" w:hAnsi="Times New Roman" w:cs="Times New Roman"/>
          <w:color w:val="000000"/>
          <w:szCs w:val="20"/>
        </w:rPr>
        <w:t> punktów w sposób trwały oraz odtwarzania uszkodzonych punktów,</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wyznaczenie roboczego </w:t>
      </w:r>
      <w:r w:rsidRPr="007078D3">
        <w:rPr>
          <w:rStyle w:val="spelle"/>
          <w:rFonts w:ascii="Times New Roman" w:hAnsi="Times New Roman" w:cs="Times New Roman"/>
          <w:color w:val="000000"/>
          <w:szCs w:val="20"/>
        </w:rPr>
        <w:t>pikietażu</w:t>
      </w:r>
      <w:r w:rsidRPr="007078D3">
        <w:rPr>
          <w:rFonts w:ascii="Times New Roman" w:hAnsi="Times New Roman" w:cs="Times New Roman"/>
          <w:color w:val="000000"/>
          <w:szCs w:val="20"/>
        </w:rPr>
        <w:t> trasy poza granicą robót,</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przeniesienie punktów istniejącej osnowy geodezyjnej poza granicę robót ziemnych,</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wyznaczenie przekrojów poprzecznych,</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wyznaczenie zjazdów i uzgodnienie ich z właścicielami nieruchomości,</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pomiar geodezyjny i dokumentacja kartograficzna do inwentaryzacji powykonawczej wybudowanej drogi.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38" w:name="_Toc434887980"/>
      <w:bookmarkStart w:id="39" w:name="_Toc433675534"/>
      <w:bookmarkStart w:id="40" w:name="_Toc433636043"/>
      <w:bookmarkStart w:id="41" w:name="_Toc428880125"/>
      <w:bookmarkStart w:id="42" w:name="_Toc411231967"/>
      <w:bookmarkStart w:id="43" w:name="_Toc438609818"/>
      <w:bookmarkEnd w:id="37"/>
      <w:bookmarkEnd w:id="38"/>
      <w:bookmarkEnd w:id="39"/>
      <w:bookmarkEnd w:id="40"/>
      <w:bookmarkEnd w:id="41"/>
      <w:bookmarkEnd w:id="42"/>
      <w:r w:rsidRPr="007078D3">
        <w:rPr>
          <w:rFonts w:ascii="Times New Roman" w:hAnsi="Times New Roman"/>
          <w:color w:val="000000"/>
          <w:szCs w:val="20"/>
        </w:rPr>
        <w:t>1.4. Określenia podstawowe</w:t>
      </w:r>
      <w:bookmarkEnd w:id="43"/>
    </w:p>
    <w:p w:rsidR="0034055A" w:rsidRPr="007078D3" w:rsidRDefault="0034055A" w:rsidP="00ED04E8">
      <w:pPr>
        <w:pStyle w:val="Tekstpodstawowy"/>
        <w:spacing w:after="0"/>
        <w:rPr>
          <w:rFonts w:ascii="Times New Roman" w:hAnsi="Times New Roman" w:cs="Times New Roman"/>
          <w:color w:val="000000"/>
          <w:szCs w:val="20"/>
        </w:rPr>
      </w:pPr>
      <w:r w:rsidRPr="007078D3">
        <w:rPr>
          <w:rFonts w:ascii="Times New Roman" w:hAnsi="Times New Roman" w:cs="Times New Roman"/>
          <w:b/>
          <w:bCs/>
          <w:color w:val="000000"/>
          <w:szCs w:val="20"/>
        </w:rPr>
        <w:t>1.4.1. </w:t>
      </w:r>
      <w:r w:rsidRPr="007078D3">
        <w:rPr>
          <w:rFonts w:ascii="Times New Roman" w:hAnsi="Times New Roman" w:cs="Times New Roman"/>
          <w:color w:val="000000"/>
          <w:szCs w:val="20"/>
        </w:rPr>
        <w:t>Odtworzenie trasy i punktów wysokościowych – założenie poziomej i wysokościowej geodezyjnej osnowy realizacyjnej niezbędnej przy budowie drogi, uwzględniającej ustalenia dokumentacji projektowej.</w:t>
      </w:r>
    </w:p>
    <w:p w:rsidR="0034055A" w:rsidRPr="007078D3" w:rsidRDefault="0034055A" w:rsidP="00ED04E8">
      <w:pPr>
        <w:pStyle w:val="Tekstpodstawowy"/>
        <w:spacing w:after="0"/>
        <w:rPr>
          <w:rFonts w:ascii="Times New Roman" w:hAnsi="Times New Roman" w:cs="Times New Roman"/>
          <w:color w:val="000000"/>
          <w:szCs w:val="20"/>
        </w:rPr>
      </w:pPr>
      <w:r w:rsidRPr="007078D3">
        <w:rPr>
          <w:rFonts w:ascii="Times New Roman" w:hAnsi="Times New Roman" w:cs="Times New Roman"/>
          <w:b/>
          <w:bCs/>
          <w:color w:val="000000"/>
          <w:szCs w:val="20"/>
        </w:rPr>
        <w:t>1.4.2. </w:t>
      </w:r>
      <w:r w:rsidRPr="007078D3">
        <w:rPr>
          <w:rFonts w:ascii="Times New Roman" w:hAnsi="Times New Roman" w:cs="Times New Roman"/>
          <w:color w:val="000000"/>
          <w:szCs w:val="20"/>
        </w:rPr>
        <w:t>Punkty główne trasy – punkty załamania osi trasy, punkty kierunkowe oraz początkowy i końcowy punkt trasy.</w:t>
      </w:r>
    </w:p>
    <w:p w:rsidR="0034055A" w:rsidRPr="007078D3" w:rsidRDefault="0034055A" w:rsidP="00ED04E8">
      <w:pPr>
        <w:pStyle w:val="Tekstpodstawowy"/>
        <w:spacing w:after="0"/>
        <w:rPr>
          <w:rFonts w:ascii="Times New Roman" w:hAnsi="Times New Roman" w:cs="Times New Roman"/>
          <w:color w:val="000000"/>
          <w:szCs w:val="20"/>
        </w:rPr>
      </w:pPr>
      <w:r w:rsidRPr="007078D3">
        <w:rPr>
          <w:rFonts w:ascii="Times New Roman" w:hAnsi="Times New Roman" w:cs="Times New Roman"/>
          <w:b/>
          <w:bCs/>
          <w:color w:val="000000"/>
          <w:szCs w:val="20"/>
        </w:rPr>
        <w:t>1.4.3. </w:t>
      </w:r>
      <w:r w:rsidRPr="007078D3">
        <w:rPr>
          <w:rFonts w:ascii="Times New Roman" w:hAnsi="Times New Roman" w:cs="Times New Roman"/>
          <w:color w:val="000000"/>
          <w:szCs w:val="20"/>
        </w:rPr>
        <w:t>Reper –  zasadniczy element znaku wysokościowego lub samodzielny znak wysokościowy, którego wysokość jest wyznaczona.</w:t>
      </w:r>
    </w:p>
    <w:p w:rsidR="0034055A" w:rsidRPr="007078D3" w:rsidRDefault="0034055A" w:rsidP="00ED04E8">
      <w:pPr>
        <w:pStyle w:val="Tekstpodstawowy"/>
        <w:spacing w:after="0"/>
        <w:rPr>
          <w:rFonts w:ascii="Times New Roman" w:hAnsi="Times New Roman" w:cs="Times New Roman"/>
          <w:color w:val="000000"/>
          <w:szCs w:val="20"/>
        </w:rPr>
      </w:pPr>
      <w:r w:rsidRPr="007078D3">
        <w:rPr>
          <w:rFonts w:ascii="Times New Roman" w:hAnsi="Times New Roman" w:cs="Times New Roman"/>
          <w:b/>
          <w:bCs/>
          <w:color w:val="000000"/>
          <w:szCs w:val="20"/>
        </w:rPr>
        <w:t>1.4.4. </w:t>
      </w:r>
      <w:r w:rsidRPr="007078D3">
        <w:rPr>
          <w:rFonts w:ascii="Times New Roman" w:hAnsi="Times New Roman" w:cs="Times New Roman"/>
          <w:color w:val="000000"/>
          <w:szCs w:val="20"/>
        </w:rPr>
        <w:t>Znak geodezyjny –  znak z trwałego materiału umieszczony w punktach osnowy geodezyjnej.</w:t>
      </w:r>
    </w:p>
    <w:p w:rsidR="0034055A" w:rsidRPr="007078D3" w:rsidRDefault="0034055A" w:rsidP="00ED04E8">
      <w:pPr>
        <w:pStyle w:val="Tekstpodstawowy"/>
        <w:spacing w:after="0"/>
        <w:rPr>
          <w:rFonts w:ascii="Times New Roman" w:hAnsi="Times New Roman" w:cs="Times New Roman"/>
          <w:color w:val="000000"/>
          <w:szCs w:val="20"/>
        </w:rPr>
      </w:pPr>
      <w:r w:rsidRPr="007078D3">
        <w:rPr>
          <w:rFonts w:ascii="Times New Roman" w:hAnsi="Times New Roman" w:cs="Times New Roman"/>
          <w:b/>
          <w:bCs/>
          <w:color w:val="000000"/>
          <w:szCs w:val="20"/>
        </w:rPr>
        <w:t>1.4.5. </w:t>
      </w:r>
      <w:r w:rsidRPr="007078D3">
        <w:rPr>
          <w:rFonts w:ascii="Times New Roman" w:hAnsi="Times New Roman" w:cs="Times New Roman"/>
          <w:color w:val="000000"/>
          <w:szCs w:val="20"/>
        </w:rPr>
        <w:t>Osnowa realizacyjna - osnowa geodezyjna (pozioma i wysokościowa), przeznaczona do geodezyjnego wytyczenia elementów projektu w terenie oraz geodezyjnej obsługi budowy.</w:t>
      </w:r>
    </w:p>
    <w:p w:rsidR="0034055A" w:rsidRPr="007078D3" w:rsidRDefault="0034055A" w:rsidP="00ED04E8">
      <w:pPr>
        <w:pStyle w:val="Tekstpodstawowy"/>
        <w:spacing w:after="0"/>
        <w:rPr>
          <w:rFonts w:ascii="Times New Roman" w:hAnsi="Times New Roman" w:cs="Times New Roman"/>
          <w:color w:val="000000"/>
          <w:szCs w:val="20"/>
        </w:rPr>
      </w:pPr>
      <w:r w:rsidRPr="007078D3">
        <w:rPr>
          <w:rFonts w:ascii="Times New Roman" w:hAnsi="Times New Roman" w:cs="Times New Roman"/>
          <w:b/>
          <w:bCs/>
          <w:color w:val="000000"/>
          <w:szCs w:val="20"/>
        </w:rPr>
        <w:t>1.4.6. </w:t>
      </w:r>
      <w:r w:rsidRPr="007078D3">
        <w:rPr>
          <w:rFonts w:ascii="Times New Roman" w:hAnsi="Times New Roman" w:cs="Times New Roman"/>
          <w:color w:val="000000"/>
          <w:szCs w:val="20"/>
        </w:rPr>
        <w:t>Inwentaryzacja powykonawcza – pomiar powykonawczy wybudowanej drogi i sporządzenie związanej z nim dokumentacji geodezyjnej i kartograficznej.</w:t>
      </w:r>
    </w:p>
    <w:p w:rsidR="0034055A" w:rsidRPr="007078D3" w:rsidRDefault="0034055A" w:rsidP="00ED04E8">
      <w:pPr>
        <w:pStyle w:val="Tekstpodstawowy"/>
        <w:spacing w:after="0"/>
        <w:rPr>
          <w:rFonts w:ascii="Times New Roman" w:hAnsi="Times New Roman" w:cs="Times New Roman"/>
          <w:color w:val="000000"/>
          <w:szCs w:val="20"/>
        </w:rPr>
      </w:pPr>
      <w:r w:rsidRPr="007078D3">
        <w:rPr>
          <w:rFonts w:ascii="Times New Roman" w:hAnsi="Times New Roman" w:cs="Times New Roman"/>
          <w:b/>
          <w:bCs/>
          <w:color w:val="000000"/>
          <w:szCs w:val="20"/>
        </w:rPr>
        <w:t>1.4.7. </w:t>
      </w:r>
      <w:r w:rsidRPr="007078D3">
        <w:rPr>
          <w:rFonts w:ascii="Times New Roman" w:hAnsi="Times New Roman" w:cs="Times New Roman"/>
          <w:color w:val="000000"/>
          <w:szCs w:val="20"/>
        </w:rPr>
        <w:t xml:space="preserve">Pozostałe określenia podstawowe są zgodne z obowiązującymi, odpowiednimi polskimi normami i z definicjami podanymi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1.4.</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44" w:name="_Toc274137171"/>
      <w:bookmarkStart w:id="45" w:name="_Toc166309962"/>
      <w:bookmarkStart w:id="46" w:name="_Toc438609822"/>
      <w:bookmarkEnd w:id="44"/>
      <w:bookmarkEnd w:id="45"/>
      <w:r w:rsidRPr="007078D3">
        <w:rPr>
          <w:rFonts w:ascii="Times New Roman" w:hAnsi="Times New Roman"/>
          <w:caps/>
          <w:color w:val="000000"/>
          <w:szCs w:val="20"/>
        </w:rPr>
        <w:t>2</w:t>
      </w:r>
      <w:bookmarkStart w:id="47" w:name="_Toc434887984"/>
      <w:bookmarkStart w:id="48" w:name="_Toc433675538"/>
      <w:bookmarkStart w:id="49" w:name="_Toc433636047"/>
      <w:bookmarkStart w:id="50" w:name="_Toc428880129"/>
      <w:bookmarkStart w:id="51" w:name="_Toc411231970"/>
      <w:bookmarkEnd w:id="46"/>
      <w:bookmarkEnd w:id="47"/>
      <w:bookmarkEnd w:id="48"/>
      <w:bookmarkEnd w:id="49"/>
      <w:bookmarkEnd w:id="50"/>
      <w:r w:rsidRPr="007078D3">
        <w:rPr>
          <w:rFonts w:ascii="Times New Roman" w:hAnsi="Times New Roman"/>
          <w:caps/>
          <w:color w:val="000000"/>
          <w:szCs w:val="20"/>
        </w:rPr>
        <w:t>. MATERIAŁY</w:t>
      </w:r>
      <w:bookmarkEnd w:id="51"/>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 Ogólne wymagania dotyczące materiałów</w:t>
      </w:r>
    </w:p>
    <w:p w:rsidR="0034055A" w:rsidRPr="007078D3" w:rsidRDefault="0034055A" w:rsidP="00ED04E8">
      <w:pPr>
        <w:pStyle w:val="Tekstpodstawowy"/>
        <w:spacing w:after="0"/>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Ogólne wymagania dotyczące materiałów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2.</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2.2. Materiały do wykonania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 utrwalenia punktów głównych trasy należy stosować pale drewniane z gwoździem lub prętem stalowym, słupki betonowe albo rury metalowe długości około  0,5 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Pale drewniane umieszczone poza granicą robót ziemnych, w sąsiedztwie punktów załamania trasy powinny mieć średnicę 0,15 ÷ 0,20 m i długość 1,5 ÷ 1,7 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 stabilizacji pozostałych punktów należy stosować paliki drewniane średnicy 0,05 ÷ 0,08 m i długości około 0,30 m, a dla punktów utrwalonych w istniejącej nawierzchni bolce stalowe średnicy 5 mm i długości 0,04 ÷ 0,05 m.</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„Świadki” powinny mieć długość około 0,50 m i przekrój prostokątny.</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Do stabilizowania roboczego </w:t>
      </w:r>
      <w:r w:rsidRPr="007078D3">
        <w:rPr>
          <w:rStyle w:val="spelle"/>
          <w:rFonts w:ascii="Times New Roman" w:hAnsi="Times New Roman" w:cs="Times New Roman"/>
          <w:color w:val="000000"/>
          <w:szCs w:val="20"/>
        </w:rPr>
        <w:t>pikietażu</w:t>
      </w:r>
      <w:r w:rsidRPr="007078D3">
        <w:rPr>
          <w:rFonts w:ascii="Times New Roman" w:hAnsi="Times New Roman" w:cs="Times New Roman"/>
          <w:color w:val="000000"/>
          <w:szCs w:val="20"/>
        </w:rPr>
        <w:t> trasy, poza granicą pasa robót, należy stosować pale drewniane średnicy 0,15 ÷ 0,20 m i długości 1,5 ÷ 1,7 m z tabliczkami o wymiarach uzgodnionych z Inżynierem.</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Do utrwalenia punktów osnowy geodezyjnej należy stosować materiały zgodne z instrukcjami technicznymi G-1 [5] i G-2 [6].</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52" w:name="_Toc274137172"/>
      <w:bookmarkStart w:id="53" w:name="_Toc204566518"/>
      <w:bookmarkStart w:id="54" w:name="_Toc199904821"/>
      <w:bookmarkStart w:id="55" w:name="_Toc144694237"/>
      <w:bookmarkEnd w:id="52"/>
      <w:bookmarkEnd w:id="53"/>
      <w:bookmarkEnd w:id="54"/>
      <w:bookmarkEnd w:id="55"/>
      <w:r w:rsidRPr="007078D3">
        <w:rPr>
          <w:rFonts w:ascii="Times New Roman" w:hAnsi="Times New Roman"/>
          <w:caps/>
          <w:color w:val="000000"/>
          <w:szCs w:val="20"/>
        </w:rPr>
        <w:t>3. SPRZĘT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3.1. Ogólne wymagania dotyczące sprzętu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sprzętu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3.</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3.2. Sprzęt stosowany do wykonania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Przy wykonywaniu robót Wykonawca w zależności od potrzeb, powinien wykazać się możliwością korzystania ze sprzętu dostosowanego do przyjętej metody robót, jak:</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teodolity lub tachimetry,</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niwelatory,</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dalmierze,</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tyczki, łaty, taśmy stalowe, szpilki,</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ew. odbiorniki GPS, zapewniające uzyskanie wymaganych dokładności pomiarów.</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Sprzęt stosowany do odtworzenia trasy drogowej i jej punktów wysokościowych powinien gwarantować uzyskanie wymaganej dokładności pomiaru.</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56" w:name="_Toc274137173"/>
      <w:bookmarkStart w:id="57" w:name="_Toc204566519"/>
      <w:bookmarkStart w:id="58" w:name="_Toc199904822"/>
      <w:bookmarkStart w:id="59" w:name="_Toc144694238"/>
      <w:bookmarkEnd w:id="56"/>
      <w:bookmarkEnd w:id="57"/>
      <w:bookmarkEnd w:id="58"/>
      <w:bookmarkEnd w:id="59"/>
      <w:r w:rsidRPr="007078D3">
        <w:rPr>
          <w:rFonts w:ascii="Times New Roman" w:hAnsi="Times New Roman"/>
          <w:caps/>
          <w:color w:val="000000"/>
          <w:szCs w:val="20"/>
        </w:rPr>
        <w:t>4. TRANSPORT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4.1. Ogólne wymagania dotyczące transportu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transportu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4.</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4.2. Transport materiałów i sprzętu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Sprzęt i materiały do prac geodezyjnych można przewozić dowolnym środkiem transportu.</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60" w:name="_Toc274137174"/>
      <w:bookmarkStart w:id="61" w:name="_Toc204566520"/>
      <w:bookmarkStart w:id="62" w:name="_Toc199904823"/>
      <w:bookmarkStart w:id="63" w:name="_Toc144694239"/>
      <w:bookmarkEnd w:id="60"/>
      <w:bookmarkEnd w:id="61"/>
      <w:bookmarkEnd w:id="62"/>
      <w:bookmarkEnd w:id="63"/>
      <w:r w:rsidRPr="007078D3">
        <w:rPr>
          <w:rFonts w:ascii="Times New Roman" w:hAnsi="Times New Roman"/>
          <w:caps/>
          <w:color w:val="000000"/>
          <w:szCs w:val="20"/>
        </w:rPr>
        <w:t>5. WYKONANIE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5.1. Ogólne zasady wykonania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wykonania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5.</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5.2. Zasady wykonywania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Podstawowe czynności przy wykonywaniu robót obejmują:</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1.    roboty przygotowawcze,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2.    odtworzenie trasy i punktów wysokościowych,</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3.    geodezyjna inwentaryzacja powykonawcza.</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5.3. Prace przygotowawcze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Przed przystąpieniem do robót Wykonawca robót geodezyjnych powinien:</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zapoznać się z zakresem opracowania,</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przeprowadzić z Zamawiającym (Inżynierem) uzgodnienia dotyczące sposobu wykonania prac,</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zapoznać się z dokumentacją projektową,</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zebrać informacje o rodzaju i stanie osnów geodezyjnych na obszarze objętym budową drogi,</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zapoznać się z przewidywanym sposobem realizacji budowy,</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przeprowadzić wywiad szczegółowy w terenie.</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5.4. Odtworzenie trasy drogi i punktów wysokościowych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5.4.1. </w:t>
      </w:r>
      <w:r w:rsidRPr="007078D3">
        <w:rPr>
          <w:rFonts w:ascii="Times New Roman" w:hAnsi="Times New Roman" w:cs="Times New Roman"/>
          <w:color w:val="000000"/>
          <w:szCs w:val="20"/>
        </w:rPr>
        <w:t>Zasady wykonywania prac pomiarowych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Prace pomiarowe powinny być wykonane zgodnie z obowiązującymi Instrukcjami i wytycznymi </w:t>
      </w:r>
      <w:r w:rsidRPr="007078D3">
        <w:rPr>
          <w:rStyle w:val="spelle"/>
          <w:rFonts w:ascii="Times New Roman" w:hAnsi="Times New Roman" w:cs="Times New Roman"/>
          <w:color w:val="000000"/>
          <w:szCs w:val="20"/>
        </w:rPr>
        <w:t>GUGiK</w:t>
      </w:r>
      <w:r w:rsidRPr="007078D3">
        <w:rPr>
          <w:rFonts w:ascii="Times New Roman" w:hAnsi="Times New Roman" w:cs="Times New Roman"/>
          <w:color w:val="000000"/>
          <w:szCs w:val="20"/>
        </w:rPr>
        <w:t> [3÷10].</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Przed przystąpieniem do robót Wykonawca powinien przejąć od Zamawiającego dane zawierające lokalizację i współrzędne punktów głównych trasy oraz reperów.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 oparciu o materiały dostarczone przez Zamawiającego, Wykonawca powinien przeprowadzić obliczenia i pomiary geodezyjne niezbędne do szczegółowego wytyczenia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Prace pomiarowe powinny być wykonane przez osoby posiadające odpowiednie kwalifikacje i uprawnienia.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Wykonawca powinien natychmiast poinformować Inżyniera o wszelkich błędach wykrytych w wytyczeniu punktów głównych trasy i (lub) reperów roboczych. Błędy te powinny być usunięte na koszt Zamawiającego.</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o tym Inżyniera. Ukształtowanie terenu w takim rejonie nie powinno być zmieniane przed podjęciem odpowiedniej decyzji przez Inżyniera. Wszystkie roboty dodatkowe, wynikające z różnic rzędnych terenu podanych w dokumentacji projektowej i rzędnych rzeczywistych, akceptowane przez Inżyniera, zostaną wykonane na koszt Zamawiającego. Zaniechanie powiadomienia Inżyniera oznacza, że roboty dodatkowe w takim przypadku obciążą Wykonawcę.</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Wszystkie roboty, które bazują na pomiarach Wykonawcy, nie mogą być rozpoczęte przed zaakceptowaniem wyników pomiarów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Punkty wierzchołkowe, punkty główne trasy i punkty pośrednie osi trasy muszą być zaopatrzone w oznaczenia określające w sposób wyraźny i jednoznaczny charakterystykę i położenie tych punktów. Forma i wzór tych oznaczeń powinny być zaakceptowane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Wykonawca jest odpowiedzialny za zabezpieczanie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Wszystkie pozostałe prace pomiarowe konieczne dla prawidłowej realizacji robót należą do obowiązków Wykonawcy.</w:t>
      </w:r>
    </w:p>
    <w:p w:rsidR="0034055A" w:rsidRPr="007078D3" w:rsidRDefault="0034055A" w:rsidP="00ED04E8">
      <w:pPr>
        <w:pStyle w:val="Nagwek2"/>
        <w:spacing w:before="0" w:beforeAutospacing="0" w:after="0" w:afterAutospacing="0"/>
        <w:ind w:left="709" w:hanging="709"/>
        <w:jc w:val="both"/>
        <w:rPr>
          <w:rFonts w:ascii="Times New Roman" w:hAnsi="Times New Roman"/>
          <w:color w:val="000000"/>
          <w:szCs w:val="20"/>
        </w:rPr>
      </w:pPr>
      <w:r w:rsidRPr="007078D3">
        <w:rPr>
          <w:rFonts w:ascii="Times New Roman" w:hAnsi="Times New Roman"/>
          <w:color w:val="000000"/>
          <w:szCs w:val="20"/>
        </w:rPr>
        <w:t>5.4.2. </w:t>
      </w:r>
      <w:r w:rsidRPr="007078D3">
        <w:rPr>
          <w:rFonts w:ascii="Times New Roman" w:hAnsi="Times New Roman"/>
          <w:b w:val="0"/>
          <w:bCs w:val="0"/>
          <w:color w:val="000000"/>
          <w:szCs w:val="20"/>
        </w:rPr>
        <w:t>Sprawdzenie wyznaczenia punktów głównych osi trasy i punktów        wysokościowych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Punkty wierzchołkowe trasy i inne punkty główne powinny być </w:t>
      </w:r>
      <w:r w:rsidRPr="007078D3">
        <w:rPr>
          <w:rStyle w:val="spelle"/>
          <w:rFonts w:ascii="Times New Roman" w:hAnsi="Times New Roman" w:cs="Times New Roman"/>
          <w:color w:val="000000"/>
          <w:szCs w:val="20"/>
        </w:rPr>
        <w:t>zastabilizowane</w:t>
      </w:r>
      <w:r w:rsidRPr="007078D3">
        <w:rPr>
          <w:rFonts w:ascii="Times New Roman" w:hAnsi="Times New Roman" w:cs="Times New Roman"/>
          <w:color w:val="000000"/>
          <w:szCs w:val="20"/>
        </w:rPr>
        <w:t> w sposób trwały, przy użyciu pali drewnianych lub słupków betonowych, a także dowiązane do punktów pomocniczych, położonych poza granicą robót ziemnych. Maksymalna odległość pomiędzy punktami głównymi na odcinkach prostych nie może przekraczać 500 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Wykonawca powinien założyć robocze punkty wysokościowe (repery robocze) wzdłuż osi trasy drogowej, a także przy każdym obiekcie inżynierskim. Maksymalna odległość między reperami roboczymi wzdłuż trasy drogowej w terenie płaskim </w:t>
      </w:r>
      <w:r w:rsidRPr="007078D3">
        <w:rPr>
          <w:rFonts w:ascii="Times New Roman" w:hAnsi="Times New Roman" w:cs="Times New Roman"/>
          <w:color w:val="000000"/>
          <w:szCs w:val="20"/>
        </w:rPr>
        <w:lastRenderedPageBreak/>
        <w:t>powinna wynosić 500 metrów, natomiast w terenie falistym i górskim powinna być odpowiednio zmniejszona, zależnie od jego konfiguracji.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Repery robocze należy założyć poza granicami robót związanych z wykonaniem trasy drogowej i obiektów towarzyszących. Jako repery robocze można wykorzystać punkty stałe na stabilnych, istniejących budowlach wzdłuż trasy drogowej. O ile brak jest  takich punktów, repery robocze należy założyć w postaci słupków betonowych lub grubych kształtowników stalowych, osadzonych w gruncie w sposób wykluczający osiadanie, w sposób zaakceptowany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Rzędne reperów roboczych należy określać z taką dokładnością, aby średni błąd niwelacji po wyrównaniu był mniejszy od 4 mm/km, stosując niwelację podwójną w nawiązaniu do reperów państwowych.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Repery robocze powinny być wyposażone w dodatkowe oznaczenia, zawierające wyraźne i jednoznaczne określenie nazwy </w:t>
      </w:r>
      <w:r w:rsidRPr="007078D3">
        <w:rPr>
          <w:rStyle w:val="spelle"/>
          <w:rFonts w:ascii="Times New Roman" w:hAnsi="Times New Roman" w:cs="Times New Roman"/>
          <w:color w:val="000000"/>
          <w:szCs w:val="20"/>
        </w:rPr>
        <w:t>reperu</w:t>
      </w:r>
      <w:r w:rsidRPr="007078D3">
        <w:rPr>
          <w:rFonts w:ascii="Times New Roman" w:hAnsi="Times New Roman" w:cs="Times New Roman"/>
          <w:color w:val="000000"/>
          <w:szCs w:val="20"/>
        </w:rPr>
        <w:t> i jego rzędnej.</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5.4.3.  </w:t>
      </w:r>
      <w:r w:rsidRPr="007078D3">
        <w:rPr>
          <w:rFonts w:ascii="Times New Roman" w:hAnsi="Times New Roman"/>
          <w:b w:val="0"/>
          <w:bCs w:val="0"/>
          <w:color w:val="000000"/>
          <w:szCs w:val="20"/>
        </w:rPr>
        <w:t>Odtworzenie osi trasy</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Tyczenie osi trasy należy wykonać w oparciu o dokumentację projektową oraz inne dane geodezyjne przekazane przez Zamawiającego, przy wykorzystaniu sieci poligonizacji państwowej albo innej osnowy geodezyjnej, określonej w dokumentacji projektowej.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Oś trasy powinna być wyznaczona w punktach głównych i w punktach pośrednich w odległości zależnej od charakterystyki terenu i ukształtowania trasy, lecz nie rzadziej niż co 50 metrów.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Dopuszczalne odchylenie sytuacyjne wytyczonej osi trasy w stosunku do dokumentacji projektowej nie może być większe niż 3 cm dla autostrad i dróg ekspresowych lub 5 cm dla pozostałych dróg. Rzędne niwelety punktów osi trasy należy wyznaczyć z dokładnością do 1 cm w stosunku do rzędnych niwelety określonych w dokumentacji projektowej.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 utrwalenia osi trasy w terenie należy użyć materiałów wymienionych w </w:t>
      </w:r>
      <w:r w:rsidRPr="007078D3">
        <w:rPr>
          <w:rStyle w:val="spelle"/>
          <w:rFonts w:ascii="Times New Roman" w:hAnsi="Times New Roman" w:cs="Times New Roman"/>
          <w:color w:val="000000"/>
          <w:szCs w:val="20"/>
        </w:rPr>
        <w:t>pkcie</w:t>
      </w:r>
      <w:r w:rsidRPr="007078D3">
        <w:rPr>
          <w:rFonts w:ascii="Times New Roman" w:hAnsi="Times New Roman" w:cs="Times New Roman"/>
          <w:color w:val="000000"/>
          <w:szCs w:val="20"/>
        </w:rPr>
        <w:t> 2.2.</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Usunięcie pali z osi trasy jest dopuszczalne tylko wówczas, gdy Wykonawca robót zastąpi je odpowiednimi palami po obu stronach osi, umieszczonych poza granicą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5.4.4. </w:t>
      </w:r>
      <w:r w:rsidRPr="007078D3">
        <w:rPr>
          <w:rFonts w:ascii="Times New Roman" w:hAnsi="Times New Roman"/>
          <w:b w:val="0"/>
          <w:bCs w:val="0"/>
          <w:color w:val="000000"/>
          <w:szCs w:val="20"/>
        </w:rPr>
        <w:t>Wyznaczenie przekrojów poprzecznych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Wyznaczenie przekrojów poprzecznych obejmuje wyznaczenie krawędzi nasypów i wykopów na powierzchni terenu (określenie granicy robót), zgodnie z dokumentacją projektową oraz w miejscach wymagających uzupełnienia dla poprawnego przeprowadzenia robót i w miejscach zaakceptowanych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 wyznaczania krawędzi nasypów i wykopów należy stosować dobrze widoczne paliki lub wiechy. Wiechy należy stosować w przypadku nasypów o wysokości przekraczającej 1 metr oraz wykopów głębszych niż 1 metr. Odległość między palikami lub wiechami należy dostosować do ukształtowania terenu oraz geometrii trasy drogowej. Odległość ta co najmniej powinna odpowiadać odstępowi kolejnych przekrojów poprzecznych.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Profilowanie przekrojów poprzecznych musi umożliwiać wykonanie nasypów i wykopów o kształcie zgodnym z dokumentacją projektową.</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5.4.5.  </w:t>
      </w:r>
      <w:r w:rsidRPr="007078D3">
        <w:rPr>
          <w:rFonts w:ascii="Times New Roman" w:hAnsi="Times New Roman"/>
          <w:b w:val="0"/>
          <w:bCs w:val="0"/>
          <w:color w:val="000000"/>
          <w:szCs w:val="20"/>
        </w:rPr>
        <w:t>Wyznaczenie położenia obiektów mostowych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Dla każdego z obiektów mostowych należy wyznaczyć jego położenie w terenie poprzez:</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wytyczenie osi obiektu,</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wytyczenie punktów określających usytuowanie (kontur) obiektu, w szczególności przyczółków i filarów mostów i wiaduktów.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 przypadku mostów i wiaduktów dokumentacja projektowa powinna zawierać opis odpowiedniej osnowy realizacyjnej do wytyczenia tych obiektów.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Położenie obiektu w planie należy określić z dokładnością określoną w  punkcie 5.4.3.</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5.4.6. </w:t>
      </w:r>
      <w:r w:rsidRPr="007078D3">
        <w:rPr>
          <w:rFonts w:ascii="Times New Roman" w:hAnsi="Times New Roman" w:cs="Times New Roman"/>
          <w:color w:val="000000"/>
          <w:szCs w:val="20"/>
        </w:rPr>
        <w:t>Skompletowanie dokumentacji geodezyjnej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Dokumentację geodezyjną należy skompletować zgodnie z przepisami instrukcji 0-3 [4] z podziałem na:</w:t>
      </w:r>
    </w:p>
    <w:p w:rsidR="0034055A" w:rsidRPr="007078D3" w:rsidRDefault="0034055A" w:rsidP="00ED04E8">
      <w:pPr>
        <w:pStyle w:val="Tekstpodstawowy"/>
        <w:spacing w:after="0"/>
        <w:ind w:left="284" w:hanging="284"/>
        <w:textAlignment w:val="baseline"/>
        <w:rPr>
          <w:rFonts w:ascii="Times New Roman" w:hAnsi="Times New Roman" w:cs="Times New Roman"/>
          <w:color w:val="000000"/>
          <w:szCs w:val="20"/>
        </w:rPr>
      </w:pPr>
      <w:r w:rsidRPr="007078D3">
        <w:rPr>
          <w:rFonts w:ascii="Times New Roman" w:hAnsi="Times New Roman" w:cs="Times New Roman"/>
          <w:color w:val="000000"/>
          <w:szCs w:val="20"/>
        </w:rPr>
        <w:t>1)    akta postępowania przeznaczone dla Wykonawcy,</w:t>
      </w:r>
    </w:p>
    <w:p w:rsidR="0034055A" w:rsidRPr="007078D3" w:rsidRDefault="0034055A" w:rsidP="00ED04E8">
      <w:pPr>
        <w:pStyle w:val="Tekstpodstawowy"/>
        <w:spacing w:after="0"/>
        <w:ind w:left="284" w:hanging="284"/>
        <w:textAlignment w:val="baseline"/>
        <w:rPr>
          <w:rFonts w:ascii="Times New Roman" w:hAnsi="Times New Roman" w:cs="Times New Roman"/>
          <w:color w:val="000000"/>
          <w:szCs w:val="20"/>
        </w:rPr>
      </w:pPr>
      <w:r w:rsidRPr="007078D3">
        <w:rPr>
          <w:rFonts w:ascii="Times New Roman" w:hAnsi="Times New Roman" w:cs="Times New Roman"/>
          <w:color w:val="000000"/>
          <w:szCs w:val="20"/>
        </w:rPr>
        <w:t>2)    dokumentację techniczną przeznaczoną dla Zamawiającego,</w:t>
      </w:r>
    </w:p>
    <w:p w:rsidR="0034055A" w:rsidRPr="007078D3" w:rsidRDefault="0034055A" w:rsidP="00ED04E8">
      <w:pPr>
        <w:pStyle w:val="Tekstpodstawowy"/>
        <w:spacing w:after="0"/>
        <w:ind w:left="284" w:hanging="284"/>
        <w:textAlignment w:val="baseline"/>
        <w:rPr>
          <w:rFonts w:ascii="Times New Roman" w:hAnsi="Times New Roman" w:cs="Times New Roman"/>
          <w:color w:val="000000"/>
          <w:szCs w:val="20"/>
        </w:rPr>
      </w:pPr>
      <w:r w:rsidRPr="007078D3">
        <w:rPr>
          <w:rFonts w:ascii="Times New Roman" w:hAnsi="Times New Roman" w:cs="Times New Roman"/>
          <w:color w:val="000000"/>
          <w:szCs w:val="20"/>
        </w:rPr>
        <w:t>3)    dokumentację techniczną przeznaczoną dla ośrodka dokumentacji geodezyjnej i kartograficznej.</w:t>
      </w:r>
    </w:p>
    <w:p w:rsidR="0034055A" w:rsidRPr="007078D3" w:rsidRDefault="0034055A" w:rsidP="00ED04E8">
      <w:pPr>
        <w:pStyle w:val="Tekstpodstawowy"/>
        <w:spacing w:after="0"/>
        <w:ind w:firstLine="709"/>
        <w:rPr>
          <w:rFonts w:ascii="Times New Roman" w:hAnsi="Times New Roman" w:cs="Times New Roman"/>
          <w:color w:val="000000"/>
          <w:szCs w:val="20"/>
        </w:rPr>
      </w:pPr>
      <w:r w:rsidRPr="007078D3">
        <w:rPr>
          <w:rFonts w:ascii="Times New Roman" w:hAnsi="Times New Roman" w:cs="Times New Roman"/>
          <w:color w:val="000000"/>
          <w:szCs w:val="20"/>
        </w:rPr>
        <w:t>Sposób skompletowania dokumentacji, o której mowa w  </w:t>
      </w:r>
      <w:r w:rsidRPr="007078D3">
        <w:rPr>
          <w:rStyle w:val="spelle"/>
          <w:rFonts w:ascii="Times New Roman" w:hAnsi="Times New Roman" w:cs="Times New Roman"/>
          <w:color w:val="000000"/>
          <w:szCs w:val="20"/>
        </w:rPr>
        <w:t>ppkcie</w:t>
      </w:r>
      <w:r w:rsidRPr="007078D3">
        <w:rPr>
          <w:rFonts w:ascii="Times New Roman" w:hAnsi="Times New Roman" w:cs="Times New Roman"/>
          <w:color w:val="000000"/>
          <w:szCs w:val="20"/>
        </w:rPr>
        <w:t> 3 oraz formę dokumentów należy uzgodnić z ośrodkiem dokumentacji. Zamawiający poda w ST, czy dokumentację tę należy okazać Zamawiającemu do wglądu.</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5.5. Pomiar powykonawczy wybudowanej drogi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5.5.1. </w:t>
      </w:r>
      <w:r w:rsidRPr="007078D3">
        <w:rPr>
          <w:rFonts w:ascii="Times New Roman" w:hAnsi="Times New Roman" w:cs="Times New Roman"/>
          <w:color w:val="000000"/>
          <w:szCs w:val="20"/>
        </w:rPr>
        <w:t>Zebranie materiałów i informacji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Wykonawca powinien zapoznać się z zakresem opracowania i uzyskać od Zamawiającego instrukcje dotyczące ewentualnych etapów wykonywania pomiarów powykonawczych.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Pomiary powykonawcze powinny być poprzedzone uzyskaniem z ośrodków dokumentacji geodezyjnej i kartograficznej informacji o rodzaju, położeniu i stanie punktów osnowy geodezyjnej (poziomej i wysokościowej) oraz o mapie zasadniczej i katastralnej.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 przypadku stwierdzenia, że w trakcie realizacji obiektu nie została wykonana bieżąca inwentaryzacja sieci uzbrojenia terenu, należy powiadomić o tym Zamawiającego.</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Przy analizie zebranych materiałów i informacji należy ustalić:</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klasy i dokładności istniejących osnów geodezyjnych oraz możliwości wykorzystania ich do pomiarów powykonawczych,</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rodzaje układów współrzędnych i poziomów odniesienia,</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zakres i sposób aktualizacji dokumentów bazowych, znajdujących się w ośrodku dokumentacji o wyniku pomiaru powykonawczego.</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5.5.2. </w:t>
      </w:r>
      <w:r w:rsidRPr="007078D3">
        <w:rPr>
          <w:rFonts w:ascii="Times New Roman" w:hAnsi="Times New Roman" w:cs="Times New Roman"/>
          <w:color w:val="000000"/>
          <w:szCs w:val="20"/>
        </w:rPr>
        <w:t>Prace pomiarowe i kameralne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W pierwszej fazie prac należy wykonać: ogólne rozeznanie w terenie, odszukanie punktów istniejącej osnowy geodezyjnej z ustaleniem stanu technicznego tych punktów oraz aktualizacją opisów topograficznych, zbadanie wizur pomiędzy punktami i ewentualne ich oczyszczenie, wstępne rozeznanie odnośnie konieczności uzupełnienia lub zaprojektowania osnowy poziomej III klasy oraz osnowy pomiarowej.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Następnie należy pomierzyć wznowioną lub założoną osnowę, a następnie wykonać pomiary inwentaryzacyjne, zgodnie z instrukcją G-4 [8] </w:t>
      </w:r>
      <w:r w:rsidRPr="007078D3">
        <w:rPr>
          <w:rStyle w:val="spelle"/>
          <w:rFonts w:ascii="Times New Roman" w:hAnsi="Times New Roman" w:cs="Times New Roman"/>
          <w:color w:val="000000"/>
          <w:szCs w:val="20"/>
        </w:rPr>
        <w:t>GUGiK</w:t>
      </w:r>
      <w:r w:rsidRPr="007078D3">
        <w:rPr>
          <w:rFonts w:ascii="Times New Roman" w:hAnsi="Times New Roman" w:cs="Times New Roman"/>
          <w:color w:val="000000"/>
          <w:szCs w:val="20"/>
        </w:rPr>
        <w:t>, mierząc wszystkie elementy treści mapy zasadniczej oraz treść dodatkową obejmującą: granice ustalone według stanu prawnego, kilometraż dróg, znaki drogowe, punkty referencyjne, obiekty mostowe z rzędnymi wlotu i wylotu, światłem i skrajnią, wszystkie drzewa w pasie drogowym, zabytki i pomniki przyrody, wszystkie ogrodzenia z furtkami i bramami oraz z podziałem na trwałe i nietrwałe, rowy, studnie z ich średnicami, przekroje poprzeczne dróg co 20÷50 m oraz inne elementy według wymagań Zamawiającego.</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Prace obliczeniowe należy wykonać przy pomocy sprzętu komputerowego. Wniesienie pomierzonej treści na mapę zasadniczą oraz mapę katastralną należy wykonać metodą klasyczną (kartowaniem i kreśleniem ręcznym) lub przy pomocy plotera.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Wtórnik mapy zasadniczej dla Zamawiającego należy uzupełnić o elementy wymienione w drugim akapicie niniejszego punktu, tą samą techniką z jaką została wykonana mapa (numeryczną względnie analogową).</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Dokumentację geodezyjną i kartograficzną należy skompletować zgodnie z przepisami instrukcji 0-3 [4], z podziałem na: akta postępowania przeznaczone dla Wykonawcy, dokumentację techniczną przeznaczoną dla Zamawiającego i dokumentację techniczną przeznaczoną dla ośrodka dokumentacji geodezyjnej i kartograficznej. Sposób skompletowania i formę dokumentacji dla ośrodka dokumentacji należy uzgodnić z ośrodkiem oraz ustalić czy tę dokumentację należy okazać Zamawiającemu do wglądu.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5.5.3. </w:t>
      </w:r>
      <w:r w:rsidRPr="007078D3">
        <w:rPr>
          <w:rFonts w:ascii="Times New Roman" w:hAnsi="Times New Roman" w:cs="Times New Roman"/>
          <w:color w:val="000000"/>
          <w:szCs w:val="20"/>
        </w:rPr>
        <w:t>Dokumentacja dla Zamawiającego</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Jeśli Zamawiający nie ustalił inaczej, to należy skompletować dla Zamawiającego następujące materiały:</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sprawozdanie techniczne,</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wtórnik mapy zasadniczej uzupełniony dodatkową treścią, którą wymieniono w punkcie 5.5.2,</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kopie wykazów współrzędnych punktów osnowy oraz wykazy współrzędnych punktów granicznych w postaci dysku i wydruku na papierze,</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kopie protokołów przekazania znaków geodezyjnych pod ochronę,</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kopie opisów topograficznych,</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kopie szkiców polowych,</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nośnik elektroniczny (dysk) z mapą numeryczną oraz wydruk ploterem tych map, jeżeli mapa realizowana jest numerycznie,</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inne materiały zgodne z wymaganiami Zamawiającego.</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64" w:name="_Toc274137175"/>
      <w:bookmarkStart w:id="65" w:name="_Toc164048103"/>
      <w:bookmarkStart w:id="66" w:name="_Toc161023547"/>
      <w:bookmarkStart w:id="67" w:name="_Toc147039497"/>
      <w:bookmarkStart w:id="68" w:name="_Toc146429505"/>
      <w:bookmarkStart w:id="69" w:name="_Toc144793980"/>
      <w:bookmarkStart w:id="70" w:name="_Toc144694240"/>
      <w:bookmarkEnd w:id="64"/>
      <w:bookmarkEnd w:id="65"/>
      <w:bookmarkEnd w:id="66"/>
      <w:bookmarkEnd w:id="67"/>
      <w:bookmarkEnd w:id="68"/>
      <w:bookmarkEnd w:id="69"/>
      <w:bookmarkEnd w:id="70"/>
      <w:r w:rsidRPr="007078D3">
        <w:rPr>
          <w:rFonts w:ascii="Times New Roman" w:hAnsi="Times New Roman"/>
          <w:caps/>
          <w:color w:val="000000"/>
          <w:szCs w:val="20"/>
        </w:rPr>
        <w:t>6. KONTROLA JAKOŚCI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6.1. Ogólne zasady kontroli jakości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kontroli jakości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6.</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6.2. Kontrola jakości prac</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Kontrola jakości prac pomiarowych powinna obejmować:</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wewnętrzną kontrolę prowadzoną przez Wykonawcę robót geodezyjnych, która powinna zapewniać możliwość śledzenia przebiegu prac, oceniania ich jakości oraz usuwania nieprawidłowości mogących mieć wpływ na kolejne etapy robót,</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kontrolę prowadzoną przez służbę nadzoru (Inżyniera),</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przestrzeganie ogólnych zasad prac określonych w instrukcjach i wytycznych </w:t>
      </w:r>
      <w:r w:rsidRPr="007078D3">
        <w:rPr>
          <w:rStyle w:val="spelle"/>
          <w:rFonts w:ascii="Times New Roman" w:hAnsi="Times New Roman" w:cs="Times New Roman"/>
          <w:color w:val="000000"/>
          <w:szCs w:val="20"/>
        </w:rPr>
        <w:t>GUGiK</w:t>
      </w:r>
      <w:r w:rsidRPr="007078D3">
        <w:rPr>
          <w:rFonts w:ascii="Times New Roman" w:hAnsi="Times New Roman" w:cs="Times New Roman"/>
          <w:color w:val="000000"/>
          <w:szCs w:val="20"/>
        </w:rPr>
        <w:t> [3÷10], zgodnie z wymaganiami podanymi w punkcie 5,</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sporządzenie przez Wykonawcę robót geodezyjnych protokołu z wewnętrznej kontroli robót.</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Kontrolę należy prowadzić według ogólnych zasad określonych w instrukcjach i wytycznych </w:t>
      </w:r>
      <w:r w:rsidRPr="007078D3">
        <w:rPr>
          <w:rStyle w:val="spelle"/>
          <w:rFonts w:ascii="Times New Roman" w:hAnsi="Times New Roman" w:cs="Times New Roman"/>
          <w:color w:val="000000"/>
          <w:szCs w:val="20"/>
        </w:rPr>
        <w:t>GUGiK</w:t>
      </w:r>
      <w:r w:rsidRPr="007078D3">
        <w:rPr>
          <w:rFonts w:ascii="Times New Roman" w:hAnsi="Times New Roman" w:cs="Times New Roman"/>
          <w:color w:val="000000"/>
          <w:szCs w:val="20"/>
        </w:rPr>
        <w:t> [3÷10], zgodnie z wymaganiami podanymi w punkcie 5.4.3.</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71" w:name="_Toc274137176"/>
      <w:r w:rsidRPr="007078D3">
        <w:rPr>
          <w:rFonts w:ascii="Times New Roman" w:hAnsi="Times New Roman"/>
          <w:caps/>
          <w:color w:val="000000"/>
          <w:szCs w:val="20"/>
        </w:rPr>
        <w:t>7. OBMIAR ROBÓT</w:t>
      </w:r>
      <w:bookmarkEnd w:id="71"/>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7.1. Ogólne zasady obmiaru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obmiaru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7.</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7.2. Jednostka obmiarowa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Jednostką obmiarową jest km (kilometr) odtworzonej trasy w terenie.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Przy pomiarach powykonawczych wybudowanej drogi przyjmuje się jednostki: km (kilometr) i ha (hektar).</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72" w:name="_Toc274137177"/>
      <w:r w:rsidRPr="007078D3">
        <w:rPr>
          <w:rFonts w:ascii="Times New Roman" w:hAnsi="Times New Roman"/>
          <w:caps/>
          <w:color w:val="000000"/>
          <w:szCs w:val="20"/>
        </w:rPr>
        <w:t>8. ODBIÓR ROBÓT</w:t>
      </w:r>
      <w:bookmarkEnd w:id="72"/>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8.1. Ogólne zasady odbioru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 xml:space="preserve">Ogólne zasady odbioru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8.</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8.2. Sposób odbioru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Odbiór robót następuje na podstawie protokołu odbioru oraz dokumentacji technicznej przeznaczonej dla Zamawiającego.</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73" w:name="_Toc274137178"/>
      <w:r w:rsidRPr="007078D3">
        <w:rPr>
          <w:rFonts w:ascii="Times New Roman" w:hAnsi="Times New Roman"/>
          <w:caps/>
          <w:color w:val="000000"/>
          <w:szCs w:val="20"/>
        </w:rPr>
        <w:t>9. PODSTAWA PŁATNOŚCI</w:t>
      </w:r>
      <w:bookmarkEnd w:id="73"/>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9.1. Ogólne ustalenia dotyczące podstawy płatności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ustalenia dotyczące podstawy płatności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9.</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9.2. Cena jednostki obmiarowej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Cena wykonania robót obejmuje: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lastRenderedPageBreak/>
        <w:t>-      zakup, dostarczenie i składowanie potrzebnych materiałów,</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koszt zapewnienia niezbędnych czynników produkcji,</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zakup i dostarczenie materiałów,</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sprawdzenie wyznaczenia punktów głównych osi trasy i punktów wysokościowych,</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uzupełnienie osi trasy dodatkowymi punktami,</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wyznaczenie dodatkowych punktów wysokościowych,</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wyznaczenie zjazdów i uzgodnienie ich z właścicielami nieruchomości,</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wyznaczenie przekrojów poprzecznych z ewentualnym wytyczeniem dodatkowych przekrojów,</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wyznaczenie punktów roboczego </w:t>
      </w:r>
      <w:r w:rsidRPr="007078D3">
        <w:rPr>
          <w:rStyle w:val="spelle"/>
          <w:rFonts w:ascii="Times New Roman" w:hAnsi="Times New Roman" w:cs="Times New Roman"/>
          <w:color w:val="000000"/>
          <w:szCs w:val="20"/>
        </w:rPr>
        <w:t>pikietażu</w:t>
      </w:r>
      <w:r w:rsidRPr="007078D3">
        <w:rPr>
          <w:rFonts w:ascii="Times New Roman" w:hAnsi="Times New Roman" w:cs="Times New Roman"/>
          <w:color w:val="000000"/>
          <w:szCs w:val="20"/>
        </w:rPr>
        <w:t> trasy,</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ustawienie łat z wyznaczeniem pochylenia skarp,</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zastabilizowanie</w:t>
      </w:r>
      <w:r w:rsidRPr="007078D3">
        <w:rPr>
          <w:rFonts w:ascii="Times New Roman" w:hAnsi="Times New Roman" w:cs="Times New Roman"/>
          <w:color w:val="000000"/>
          <w:szCs w:val="20"/>
        </w:rPr>
        <w:t> punktów w sposób trwały, ochrona ich przed zniszczeniem i oznakowanie ułatwiające odszukanie i ewentualne odtworzenie,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prace pomiarowe i kameralne przy pomiarze powykonawczym wybudowanej drogi według wymagań dokumentacji technicznej,</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koszty ośrodków geodezyjnych.</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9.3. Sposób rozliczenia robót tymczasowych i prac towarzyszących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Cena wykonania robót określonych niniejszą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obejmuje: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roboty tymczasowe, które są potrzebne do wykonania robót podstawowych, ale nie są przekazywane Zamawiającemu i są usuwane po wykonaniu robót podstawowych,</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prace towarzyszące, które są niezbędne do wykonania robót podstawowych, niezaliczane do robót tymczasowych, jak geodezyjne wytyczenie robót itd.</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74" w:name="_Toc274137179"/>
      <w:r w:rsidRPr="007078D3">
        <w:rPr>
          <w:rFonts w:ascii="Times New Roman" w:hAnsi="Times New Roman"/>
          <w:caps/>
          <w:color w:val="000000"/>
          <w:szCs w:val="20"/>
        </w:rPr>
        <w:t>10. PRZEPISY ZWIĄZANE</w:t>
      </w:r>
      <w:bookmarkEnd w:id="74"/>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10.1. Ogólne specyfikacje techniczne</w:t>
      </w:r>
    </w:p>
    <w:p w:rsidR="0034055A" w:rsidRPr="007078D3" w:rsidRDefault="0034055A" w:rsidP="00ED04E8">
      <w:pPr>
        <w:ind w:left="113"/>
        <w:rPr>
          <w:rFonts w:ascii="Times New Roman" w:hAnsi="Times New Roman" w:cs="Times New Roman"/>
          <w:color w:val="000000"/>
          <w:szCs w:val="20"/>
        </w:rPr>
      </w:pPr>
      <w:r w:rsidRPr="007078D3">
        <w:rPr>
          <w:rFonts w:ascii="Times New Roman" w:hAnsi="Times New Roman" w:cs="Times New Roman"/>
          <w:color w:val="000000"/>
          <w:szCs w:val="20"/>
        </w:rPr>
        <w:t>1.  D-M-00.00.00                        Wymagania ogólne</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10.2. Inne dokumenty</w:t>
      </w:r>
    </w:p>
    <w:p w:rsidR="0034055A" w:rsidRPr="007078D3" w:rsidRDefault="0034055A" w:rsidP="00ED04E8">
      <w:pPr>
        <w:ind w:left="397" w:hanging="284"/>
        <w:rPr>
          <w:rFonts w:ascii="Times New Roman" w:hAnsi="Times New Roman" w:cs="Times New Roman"/>
          <w:color w:val="000000"/>
          <w:szCs w:val="20"/>
        </w:rPr>
      </w:pPr>
      <w:r w:rsidRPr="007078D3">
        <w:rPr>
          <w:rFonts w:ascii="Times New Roman" w:hAnsi="Times New Roman" w:cs="Times New Roman"/>
          <w:color w:val="000000"/>
          <w:szCs w:val="20"/>
        </w:rPr>
        <w:t>2.    Ustawa z dnia 17 maja 1989 r. – Prawo geodezyjne i kartograficzne (Dz. U. nr 30, poz. 163 z późniejszymi zmianami)</w:t>
      </w:r>
      <w:r w:rsidRPr="007078D3">
        <w:rPr>
          <w:rFonts w:ascii="Times New Roman" w:hAnsi="Times New Roman" w:cs="Times New Roman"/>
          <w:color w:val="000000"/>
          <w:szCs w:val="20"/>
        </w:rPr>
        <w:br/>
        <w:t>[Instrukcje i wytyczne techniczne byłego Głównego Urzędu Geodezji i Kartografii]:</w:t>
      </w:r>
    </w:p>
    <w:p w:rsidR="0034055A" w:rsidRPr="007078D3" w:rsidRDefault="0034055A" w:rsidP="00ED04E8">
      <w:pPr>
        <w:ind w:left="397" w:hanging="284"/>
        <w:rPr>
          <w:rFonts w:ascii="Times New Roman" w:hAnsi="Times New Roman" w:cs="Times New Roman"/>
          <w:color w:val="000000"/>
          <w:szCs w:val="20"/>
        </w:rPr>
      </w:pPr>
      <w:r w:rsidRPr="007078D3">
        <w:rPr>
          <w:rFonts w:ascii="Times New Roman" w:hAnsi="Times New Roman" w:cs="Times New Roman"/>
          <w:color w:val="000000"/>
          <w:szCs w:val="20"/>
        </w:rPr>
        <w:t>3.    Instrukcja techniczna 0-1. Ogólne zasady wykonywania prac geodezyjnych.</w:t>
      </w:r>
    </w:p>
    <w:p w:rsidR="0034055A" w:rsidRPr="007078D3" w:rsidRDefault="0034055A" w:rsidP="00ED04E8">
      <w:pPr>
        <w:ind w:left="397" w:hanging="284"/>
        <w:rPr>
          <w:rFonts w:ascii="Times New Roman" w:hAnsi="Times New Roman" w:cs="Times New Roman"/>
          <w:color w:val="000000"/>
          <w:szCs w:val="20"/>
        </w:rPr>
      </w:pPr>
      <w:r w:rsidRPr="007078D3">
        <w:rPr>
          <w:rFonts w:ascii="Times New Roman" w:hAnsi="Times New Roman" w:cs="Times New Roman"/>
          <w:color w:val="000000"/>
          <w:szCs w:val="20"/>
        </w:rPr>
        <w:t>4.    Instrukcja techniczna 0-3. Zasady kompletowania dokumentacji geodezyjnej i kartograficznej</w:t>
      </w:r>
    </w:p>
    <w:p w:rsidR="0034055A" w:rsidRPr="007078D3" w:rsidRDefault="0034055A" w:rsidP="00ED04E8">
      <w:pPr>
        <w:ind w:left="397" w:hanging="284"/>
        <w:rPr>
          <w:rFonts w:ascii="Times New Roman" w:hAnsi="Times New Roman" w:cs="Times New Roman"/>
          <w:color w:val="000000"/>
          <w:szCs w:val="20"/>
        </w:rPr>
      </w:pPr>
      <w:r w:rsidRPr="007078D3">
        <w:rPr>
          <w:rFonts w:ascii="Times New Roman" w:hAnsi="Times New Roman" w:cs="Times New Roman"/>
          <w:color w:val="000000"/>
          <w:szCs w:val="20"/>
        </w:rPr>
        <w:t>5.    Instrukcja techniczna G-1. Pozioma osnowa geodezyjna</w:t>
      </w:r>
    </w:p>
    <w:p w:rsidR="0034055A" w:rsidRPr="007078D3" w:rsidRDefault="0034055A" w:rsidP="00ED04E8">
      <w:pPr>
        <w:ind w:left="397" w:hanging="284"/>
        <w:rPr>
          <w:rFonts w:ascii="Times New Roman" w:hAnsi="Times New Roman" w:cs="Times New Roman"/>
          <w:color w:val="000000"/>
          <w:szCs w:val="20"/>
        </w:rPr>
      </w:pPr>
      <w:r w:rsidRPr="007078D3">
        <w:rPr>
          <w:rFonts w:ascii="Times New Roman" w:hAnsi="Times New Roman" w:cs="Times New Roman"/>
          <w:color w:val="000000"/>
          <w:szCs w:val="20"/>
        </w:rPr>
        <w:t>6.    Instrukcja techniczna G-2. Wysokościowa osnowa geodezyjna</w:t>
      </w:r>
    </w:p>
    <w:p w:rsidR="0034055A" w:rsidRPr="007078D3" w:rsidRDefault="0034055A" w:rsidP="00ED04E8">
      <w:pPr>
        <w:ind w:left="397" w:hanging="284"/>
        <w:rPr>
          <w:rFonts w:ascii="Times New Roman" w:hAnsi="Times New Roman" w:cs="Times New Roman"/>
          <w:color w:val="000000"/>
          <w:szCs w:val="20"/>
        </w:rPr>
      </w:pPr>
      <w:r w:rsidRPr="007078D3">
        <w:rPr>
          <w:rFonts w:ascii="Times New Roman" w:hAnsi="Times New Roman" w:cs="Times New Roman"/>
          <w:color w:val="000000"/>
          <w:szCs w:val="20"/>
        </w:rPr>
        <w:t>7.    Instrukcja techniczna G-3. Geodezyjna obsługa inwestycji</w:t>
      </w:r>
    </w:p>
    <w:p w:rsidR="0034055A" w:rsidRPr="007078D3" w:rsidRDefault="0034055A" w:rsidP="00ED04E8">
      <w:pPr>
        <w:ind w:left="397" w:hanging="284"/>
        <w:rPr>
          <w:rFonts w:ascii="Times New Roman" w:hAnsi="Times New Roman" w:cs="Times New Roman"/>
          <w:color w:val="000000"/>
          <w:szCs w:val="20"/>
        </w:rPr>
      </w:pPr>
      <w:r w:rsidRPr="007078D3">
        <w:rPr>
          <w:rFonts w:ascii="Times New Roman" w:hAnsi="Times New Roman" w:cs="Times New Roman"/>
          <w:color w:val="000000"/>
          <w:szCs w:val="20"/>
        </w:rPr>
        <w:t>8.    Instrukcja techniczna G-4. Pomiary sytuacyjne i wysokościowe</w:t>
      </w:r>
    </w:p>
    <w:p w:rsidR="0034055A" w:rsidRPr="007078D3" w:rsidRDefault="0034055A" w:rsidP="00ED04E8">
      <w:pPr>
        <w:ind w:left="397" w:hanging="284"/>
        <w:rPr>
          <w:rFonts w:ascii="Times New Roman" w:hAnsi="Times New Roman" w:cs="Times New Roman"/>
          <w:color w:val="000000"/>
          <w:szCs w:val="20"/>
        </w:rPr>
      </w:pPr>
      <w:r w:rsidRPr="007078D3">
        <w:rPr>
          <w:rFonts w:ascii="Times New Roman" w:hAnsi="Times New Roman" w:cs="Times New Roman"/>
          <w:color w:val="000000"/>
          <w:szCs w:val="20"/>
        </w:rPr>
        <w:t>9.    Wytyczne techniczne G-3.1. Osnowy realizacyjne</w:t>
      </w:r>
    </w:p>
    <w:p w:rsidR="0034055A" w:rsidRPr="007078D3" w:rsidRDefault="0034055A" w:rsidP="00ED04E8">
      <w:pPr>
        <w:ind w:left="397" w:hanging="397"/>
        <w:rPr>
          <w:rFonts w:ascii="Times New Roman" w:hAnsi="Times New Roman" w:cs="Times New Roman"/>
          <w:color w:val="000000"/>
          <w:szCs w:val="20"/>
        </w:rPr>
      </w:pPr>
      <w:r w:rsidRPr="007078D3">
        <w:rPr>
          <w:rFonts w:ascii="Times New Roman" w:hAnsi="Times New Roman" w:cs="Times New Roman"/>
          <w:color w:val="000000"/>
          <w:szCs w:val="20"/>
        </w:rPr>
        <w:t>10.     Wytyczne techniczne G-3.2. Pomiary realizacyjne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pStyle w:val="Bezodstpw"/>
        <w:spacing w:line="240" w:lineRule="auto"/>
        <w:rPr>
          <w:rFonts w:ascii="Times New Roman" w:hAnsi="Times New Roman" w:cs="Times New Roman"/>
          <w:caps/>
          <w:sz w:val="20"/>
          <w:szCs w:val="20"/>
          <w:lang w:eastAsia="pl-PL"/>
        </w:rPr>
      </w:pPr>
      <w:bookmarkStart w:id="75" w:name="_Toc221170387"/>
      <w:r w:rsidRPr="007078D3">
        <w:rPr>
          <w:rFonts w:ascii="Times New Roman" w:hAnsi="Times New Roman" w:cs="Times New Roman"/>
          <w:sz w:val="20"/>
          <w:szCs w:val="20"/>
          <w:lang w:eastAsia="pl-PL"/>
        </w:rPr>
        <w:t xml:space="preserve">D - 02.00.01 </w:t>
      </w:r>
      <w:r w:rsidRPr="007078D3">
        <w:rPr>
          <w:rFonts w:ascii="Times New Roman" w:hAnsi="Times New Roman" w:cs="Times New Roman"/>
          <w:caps/>
          <w:sz w:val="20"/>
          <w:szCs w:val="20"/>
          <w:lang w:eastAsia="pl-PL"/>
        </w:rPr>
        <w:t>ROBOTY  ZIEMNE.  WYMAGANIA  OGÓLNE</w:t>
      </w:r>
      <w:bookmarkEnd w:id="75"/>
    </w:p>
    <w:p w:rsidR="00D51F32" w:rsidRPr="007078D3" w:rsidRDefault="00D51F32" w:rsidP="00ED04E8">
      <w:pPr>
        <w:pStyle w:val="Bezodstpw"/>
        <w:spacing w:line="240" w:lineRule="auto"/>
        <w:rPr>
          <w:rFonts w:ascii="Times New Roman" w:hAnsi="Times New Roman" w:cs="Times New Roman"/>
          <w:sz w:val="20"/>
          <w:szCs w:val="20"/>
          <w:lang w:eastAsia="pl-PL"/>
        </w:rPr>
      </w:pP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r w:rsidRPr="007078D3">
        <w:rPr>
          <w:rFonts w:ascii="Times New Roman" w:hAnsi="Times New Roman"/>
          <w:caps/>
          <w:color w:val="000000"/>
          <w:szCs w:val="20"/>
        </w:rPr>
        <w:t>1. WSTĘP</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 xml:space="preserve">1.1. Przedmiot </w:t>
      </w:r>
      <w:r w:rsidR="00985629">
        <w:rPr>
          <w:rFonts w:ascii="Times New Roman" w:hAnsi="Times New Roman"/>
          <w:color w:val="000000"/>
          <w:szCs w:val="20"/>
        </w:rPr>
        <w:t>SST</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Przedmiotem niniejszej specyfikacji technicznej są wymagania dotyczące wykonania i odbioru liniowych robót ziemnych.</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 xml:space="preserve">1.2. Zakres stosowania </w:t>
      </w:r>
      <w:r w:rsidR="00985629">
        <w:rPr>
          <w:rFonts w:ascii="Times New Roman" w:hAnsi="Times New Roman"/>
          <w:color w:val="000000"/>
          <w:szCs w:val="20"/>
        </w:rPr>
        <w:t>SST</w:t>
      </w:r>
    </w:p>
    <w:p w:rsidR="007078D3" w:rsidRPr="00385DEF" w:rsidRDefault="007078D3" w:rsidP="00ED04E8">
      <w:pPr>
        <w:ind w:firstLine="708"/>
      </w:pPr>
      <w:r w:rsidRPr="00385DEF">
        <w:t>Szczegółowa specyfikacja techniczna dotyczy robót wyszczególnionych w punkcie 1.3.</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 xml:space="preserve">1.3. Zakres robót objętych </w:t>
      </w:r>
      <w:r w:rsidR="00985629">
        <w:rPr>
          <w:rFonts w:ascii="Times New Roman" w:hAnsi="Times New Roman"/>
          <w:color w:val="000000"/>
          <w:szCs w:val="20"/>
        </w:rPr>
        <w:t>SST</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Ustalenia zawarte w niniejszej specyfikacji dotyczą zasad prowadzenia robót ziemnych w czasie budowy lub modernizacji </w:t>
      </w:r>
      <w:r w:rsidRPr="007078D3">
        <w:rPr>
          <w:rStyle w:val="spelle"/>
          <w:color w:val="000000"/>
          <w:sz w:val="20"/>
          <w:szCs w:val="20"/>
        </w:rPr>
        <w:t>dróg</w:t>
      </w:r>
      <w:r w:rsidRPr="007078D3">
        <w:rPr>
          <w:color w:val="000000"/>
          <w:sz w:val="20"/>
          <w:szCs w:val="20"/>
        </w:rPr>
        <w:t> i obejmują:</w:t>
      </w:r>
    </w:p>
    <w:p w:rsidR="0034055A" w:rsidRPr="007078D3" w:rsidRDefault="0034055A" w:rsidP="00ED04E8">
      <w:pPr>
        <w:pStyle w:val="standardowytekst"/>
        <w:spacing w:before="0" w:beforeAutospacing="0" w:after="0" w:afterAutospacing="0"/>
        <w:ind w:left="283" w:hanging="283"/>
        <w:rPr>
          <w:color w:val="000000"/>
          <w:sz w:val="20"/>
          <w:szCs w:val="20"/>
        </w:rPr>
      </w:pPr>
      <w:r w:rsidRPr="007078D3">
        <w:rPr>
          <w:color w:val="000000"/>
          <w:sz w:val="20"/>
          <w:szCs w:val="20"/>
        </w:rPr>
        <w:t>a)    wykonanie wykopów w gruntach </w:t>
      </w:r>
      <w:r w:rsidRPr="007078D3">
        <w:rPr>
          <w:rStyle w:val="spelle"/>
          <w:color w:val="000000"/>
          <w:sz w:val="20"/>
          <w:szCs w:val="20"/>
        </w:rPr>
        <w:t>nieskalistych</w:t>
      </w:r>
      <w:r w:rsidRPr="007078D3">
        <w:rPr>
          <w:color w:val="000000"/>
          <w:sz w:val="20"/>
          <w:szCs w:val="20"/>
        </w:rPr>
        <w:t>,</w:t>
      </w:r>
    </w:p>
    <w:p w:rsidR="0034055A" w:rsidRPr="007078D3" w:rsidRDefault="0034055A" w:rsidP="00ED04E8">
      <w:pPr>
        <w:pStyle w:val="standardowytekst"/>
        <w:spacing w:before="0" w:beforeAutospacing="0" w:after="0" w:afterAutospacing="0"/>
        <w:ind w:left="283" w:hanging="283"/>
        <w:rPr>
          <w:color w:val="000000"/>
          <w:sz w:val="20"/>
          <w:szCs w:val="20"/>
        </w:rPr>
      </w:pPr>
      <w:r w:rsidRPr="007078D3">
        <w:rPr>
          <w:color w:val="000000"/>
          <w:sz w:val="20"/>
          <w:szCs w:val="20"/>
        </w:rPr>
        <w:t>b)   wykonanie wykopów w gruntach skalistych,</w:t>
      </w:r>
    </w:p>
    <w:p w:rsidR="0034055A" w:rsidRPr="007078D3" w:rsidRDefault="0034055A" w:rsidP="00ED04E8">
      <w:pPr>
        <w:pStyle w:val="standardowytekst"/>
        <w:spacing w:before="0" w:beforeAutospacing="0" w:after="0" w:afterAutospacing="0"/>
        <w:ind w:left="283" w:hanging="283"/>
        <w:rPr>
          <w:color w:val="000000"/>
          <w:sz w:val="20"/>
          <w:szCs w:val="20"/>
        </w:rPr>
      </w:pPr>
      <w:r w:rsidRPr="007078D3">
        <w:rPr>
          <w:color w:val="000000"/>
          <w:sz w:val="20"/>
          <w:szCs w:val="20"/>
        </w:rPr>
        <w:t>c)    budowę nasypów drogowych,</w:t>
      </w:r>
    </w:p>
    <w:p w:rsidR="0034055A" w:rsidRPr="007078D3" w:rsidRDefault="0034055A" w:rsidP="00ED04E8">
      <w:pPr>
        <w:pStyle w:val="standardowytekst"/>
        <w:spacing w:before="0" w:beforeAutospacing="0" w:after="0" w:afterAutospacing="0"/>
        <w:ind w:left="283" w:hanging="283"/>
        <w:rPr>
          <w:color w:val="000000"/>
          <w:sz w:val="20"/>
          <w:szCs w:val="20"/>
        </w:rPr>
      </w:pPr>
      <w:r w:rsidRPr="007078D3">
        <w:rPr>
          <w:color w:val="000000"/>
          <w:sz w:val="20"/>
          <w:szCs w:val="20"/>
        </w:rPr>
        <w:t>d)   pozyskiwanie gruntu z ukopu lub </w:t>
      </w:r>
      <w:r w:rsidRPr="007078D3">
        <w:rPr>
          <w:rStyle w:val="spelle"/>
          <w:color w:val="000000"/>
          <w:sz w:val="20"/>
          <w:szCs w:val="20"/>
        </w:rPr>
        <w:t>dokopu</w:t>
      </w:r>
      <w:r w:rsidRPr="007078D3">
        <w:rPr>
          <w:color w:val="000000"/>
          <w:sz w:val="20"/>
          <w:szCs w:val="20"/>
        </w:rPr>
        <w:t>.</w:t>
      </w:r>
    </w:p>
    <w:p w:rsidR="0034055A" w:rsidRPr="007078D3" w:rsidRDefault="0034055A" w:rsidP="00ED04E8">
      <w:pPr>
        <w:pStyle w:val="standardowytekst"/>
        <w:spacing w:before="0" w:beforeAutospacing="0" w:after="0" w:afterAutospacing="0"/>
        <w:ind w:left="283" w:firstLine="426"/>
        <w:rPr>
          <w:color w:val="000000"/>
          <w:sz w:val="20"/>
          <w:szCs w:val="20"/>
        </w:rPr>
      </w:pPr>
      <w:r w:rsidRPr="007078D3">
        <w:rPr>
          <w:color w:val="000000"/>
          <w:sz w:val="20"/>
          <w:szCs w:val="20"/>
        </w:rPr>
        <w:t xml:space="preserve">Wykonanie ulepszonego podłoża jest przedmiotem odrębnych </w:t>
      </w:r>
      <w:r w:rsidR="00985629">
        <w:rPr>
          <w:color w:val="000000"/>
          <w:sz w:val="20"/>
          <w:szCs w:val="20"/>
        </w:rPr>
        <w:t>SST</w:t>
      </w:r>
      <w:r w:rsidRPr="007078D3">
        <w:rPr>
          <w:color w:val="000000"/>
          <w:sz w:val="20"/>
          <w:szCs w:val="20"/>
        </w:rPr>
        <w:t>.</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Niniejsza specyfikacja nie ma zastosowania do robót fundamentowych i związanych z wykonaniem instalacji.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76" w:name="_Toc405615034"/>
      <w:bookmarkStart w:id="77" w:name="_Toc407161182"/>
      <w:bookmarkEnd w:id="76"/>
      <w:bookmarkEnd w:id="77"/>
      <w:r w:rsidRPr="007078D3">
        <w:rPr>
          <w:rFonts w:ascii="Times New Roman" w:hAnsi="Times New Roman"/>
          <w:color w:val="000000"/>
          <w:szCs w:val="20"/>
        </w:rPr>
        <w:t>1.4. Określenia podstawowe</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1.4.1. </w:t>
      </w:r>
      <w:r w:rsidRPr="007078D3">
        <w:rPr>
          <w:color w:val="000000"/>
          <w:sz w:val="20"/>
          <w:szCs w:val="20"/>
        </w:rPr>
        <w:t>Budowla ziemna – budowla wykonana w gruncie lub materiale antropogenicznym albo z gruntu lub z materiału antropogenicznego, powstała w następstwie przeprowadzenia robót ziemnych, spełniająca warunki stateczności i odwodnienia, zapewniająca przejęcie obciążenia od środków transportowych i urządzeń inżynierskich obciążających korpus drogowy.</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1.4.2. </w:t>
      </w:r>
      <w:r w:rsidRPr="007078D3">
        <w:rPr>
          <w:color w:val="000000"/>
          <w:sz w:val="20"/>
          <w:szCs w:val="20"/>
        </w:rPr>
        <w:t>Korpus drogowy - nasyp lub ta część wykopu, która jest ograniczona koroną drogi i skarpami rowów.</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1.4.3. </w:t>
      </w:r>
      <w:r w:rsidRPr="007078D3">
        <w:rPr>
          <w:color w:val="000000"/>
          <w:sz w:val="20"/>
          <w:szCs w:val="20"/>
        </w:rPr>
        <w:t>Wysokość nasypu lub głębokość wykopu - różnica rzędnej terenu i rzędnej robót ziemnych, wyznaczonych w osi nasypu lub wykopu.</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1.4.4. </w:t>
      </w:r>
      <w:r w:rsidRPr="007078D3">
        <w:rPr>
          <w:color w:val="000000"/>
          <w:sz w:val="20"/>
          <w:szCs w:val="20"/>
        </w:rPr>
        <w:t>Nasyp – budowla ziemna wykonana w obrębie pasa drogowego poprzez wbudowanie materiału nasypowego w kontrolowany sposób polegający na układaniu i zagęszczaniu kolejnych warstw powyżej powierzchni terenu.</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lastRenderedPageBreak/>
        <w:t>1.4.5. </w:t>
      </w:r>
      <w:r w:rsidRPr="007078D3">
        <w:rPr>
          <w:color w:val="000000"/>
          <w:sz w:val="20"/>
          <w:szCs w:val="20"/>
        </w:rPr>
        <w:t>Nasyp niski - nasyp, którego wysokość jest mniejsza niż 1 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1.4.6. </w:t>
      </w:r>
      <w:r w:rsidRPr="007078D3">
        <w:rPr>
          <w:color w:val="000000"/>
          <w:sz w:val="20"/>
          <w:szCs w:val="20"/>
        </w:rPr>
        <w:t>Nasyp średni - nasyp, którego wysokość jest zawarta w granicach od 1 do 3 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1.4.7. </w:t>
      </w:r>
      <w:r w:rsidRPr="007078D3">
        <w:rPr>
          <w:color w:val="000000"/>
          <w:sz w:val="20"/>
          <w:szCs w:val="20"/>
        </w:rPr>
        <w:t>Nasyp wysoki - nasyp, którego wysokość przekracza 3 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1.4.8.</w:t>
      </w:r>
      <w:r w:rsidRPr="007078D3">
        <w:rPr>
          <w:color w:val="000000"/>
          <w:sz w:val="20"/>
          <w:szCs w:val="20"/>
        </w:rPr>
        <w:t>Wykop - budowla ziemna wykonana w obrębie pasa drogowego, w postaci odpowiednio ukształtowanej przestrzeni powstałej w wyniku usunięcia z niej gruntu.</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1.4.9. </w:t>
      </w:r>
      <w:r w:rsidRPr="007078D3">
        <w:rPr>
          <w:color w:val="000000"/>
          <w:sz w:val="20"/>
          <w:szCs w:val="20"/>
        </w:rPr>
        <w:t>Wykop płytki - wykop, którego głębokość jest mniejsza niż 1 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1.4.10. </w:t>
      </w:r>
      <w:r w:rsidRPr="007078D3">
        <w:rPr>
          <w:color w:val="000000"/>
          <w:sz w:val="20"/>
          <w:szCs w:val="20"/>
        </w:rPr>
        <w:t>Wykop średni - wykop, którego głębokość jest zawarta w granicach od 1 do 3 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1.4.11. </w:t>
      </w:r>
      <w:r w:rsidRPr="007078D3">
        <w:rPr>
          <w:color w:val="000000"/>
          <w:sz w:val="20"/>
          <w:szCs w:val="20"/>
        </w:rPr>
        <w:t>Wykop głęboki - wykop, którego głębokość przekracza 3 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1.4.12. </w:t>
      </w:r>
      <w:r w:rsidRPr="007078D3">
        <w:rPr>
          <w:color w:val="000000"/>
          <w:sz w:val="20"/>
          <w:szCs w:val="20"/>
        </w:rPr>
        <w:t>Bagno - grunt organiczny nasycony wodą, o małej nośności, charakteryzujący się znacznym i długotrwałym osiadaniem pod obciążeniem.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1.4.13. </w:t>
      </w:r>
      <w:r w:rsidRPr="007078D3">
        <w:rPr>
          <w:color w:val="000000"/>
          <w:sz w:val="20"/>
          <w:szCs w:val="20"/>
        </w:rPr>
        <w:t>Grunt – </w:t>
      </w:r>
      <w:r w:rsidRPr="007078D3">
        <w:rPr>
          <w:rStyle w:val="spelle"/>
          <w:color w:val="000000"/>
          <w:sz w:val="20"/>
          <w:szCs w:val="20"/>
        </w:rPr>
        <w:t>zespół</w:t>
      </w:r>
      <w:r w:rsidRPr="007078D3">
        <w:rPr>
          <w:color w:val="000000"/>
          <w:sz w:val="20"/>
          <w:szCs w:val="20"/>
        </w:rPr>
        <w:t> cząstek mineralnych, który może być rozdrobniony przez delikatne rozcieranie w ręce i który zawiera wodę i powietrze, a niekiedy także inne gazy.</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1.4.14. </w:t>
      </w:r>
      <w:r w:rsidRPr="007078D3">
        <w:rPr>
          <w:color w:val="000000"/>
          <w:sz w:val="20"/>
          <w:szCs w:val="20"/>
        </w:rPr>
        <w:t>Grunt </w:t>
      </w:r>
      <w:r w:rsidRPr="007078D3">
        <w:rPr>
          <w:rStyle w:val="spelle"/>
          <w:color w:val="000000"/>
          <w:sz w:val="20"/>
          <w:szCs w:val="20"/>
        </w:rPr>
        <w:t>nieskalisty</w:t>
      </w:r>
      <w:r w:rsidRPr="007078D3">
        <w:rPr>
          <w:color w:val="000000"/>
          <w:sz w:val="20"/>
          <w:szCs w:val="20"/>
        </w:rPr>
        <w:t> - każdy grunt rodzimy, nie określony w punkcie 1.4.15 jako grunt skalisty.</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1.4.15. </w:t>
      </w:r>
      <w:r w:rsidRPr="007078D3">
        <w:rPr>
          <w:color w:val="000000"/>
          <w:sz w:val="20"/>
          <w:szCs w:val="20"/>
        </w:rPr>
        <w:t>Grunt skalisty - grunt rodzimy, lity lub spękany o nieprzesuniętych blokach, którego próbki nie wykazują zmian objętości ani nie rozpadają się pod działaniem wody destylowanej; mają wytrzymałość na ściskanie </w:t>
      </w:r>
      <w:r w:rsidRPr="007078D3">
        <w:rPr>
          <w:rStyle w:val="spelle"/>
          <w:color w:val="000000"/>
          <w:sz w:val="20"/>
          <w:szCs w:val="20"/>
        </w:rPr>
        <w:t>R</w:t>
      </w:r>
      <w:r w:rsidRPr="007078D3">
        <w:rPr>
          <w:rStyle w:val="spelle"/>
          <w:color w:val="000000"/>
          <w:sz w:val="20"/>
          <w:szCs w:val="20"/>
          <w:vertAlign w:val="subscript"/>
        </w:rPr>
        <w:t>c</w:t>
      </w:r>
      <w:r w:rsidRPr="007078D3">
        <w:rPr>
          <w:color w:val="000000"/>
          <w:sz w:val="20"/>
          <w:szCs w:val="20"/>
        </w:rPr>
        <w:t> ponad 0,2 </w:t>
      </w:r>
      <w:r w:rsidRPr="007078D3">
        <w:rPr>
          <w:rStyle w:val="spelle"/>
          <w:color w:val="000000"/>
          <w:sz w:val="20"/>
          <w:szCs w:val="20"/>
        </w:rPr>
        <w:t>MPa</w:t>
      </w:r>
      <w:r w:rsidRPr="007078D3">
        <w:rPr>
          <w:color w:val="000000"/>
          <w:sz w:val="20"/>
          <w:szCs w:val="20"/>
        </w:rPr>
        <w:t>; wymaga użycia środków wybuchowych albo narzędzi pneumatycznych lub hydraulicznych do odspojenia.</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1.4.16. </w:t>
      </w:r>
      <w:r w:rsidRPr="007078D3">
        <w:rPr>
          <w:color w:val="000000"/>
          <w:sz w:val="20"/>
          <w:szCs w:val="20"/>
        </w:rPr>
        <w:t>Grunt organiczny –grunt z zawartością substancji organicznej większą od 2,0%.</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1.4.17. </w:t>
      </w:r>
      <w:r w:rsidRPr="007078D3">
        <w:rPr>
          <w:color w:val="000000"/>
          <w:sz w:val="20"/>
          <w:szCs w:val="20"/>
        </w:rPr>
        <w:t>Materiał antropogeniczny – materiał powstały w wyniku bezpośredniej lub pośredniej działalności człowieka (na przykład grunt ulepszony, odpad przemysłowy, materiał z recyklingu).</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1.4.18. </w:t>
      </w:r>
      <w:r w:rsidRPr="007078D3">
        <w:rPr>
          <w:color w:val="000000"/>
          <w:sz w:val="20"/>
          <w:szCs w:val="20"/>
        </w:rPr>
        <w:t>Ukop - miejsce pozyskania gruntu do wykonania nasypów, położone w obrębie pasa robót drogowych.</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1.4.19. </w:t>
      </w:r>
      <w:r w:rsidRPr="007078D3">
        <w:rPr>
          <w:color w:val="000000"/>
          <w:sz w:val="20"/>
          <w:szCs w:val="20"/>
        </w:rPr>
        <w:t>Dokop - miejsce pozyskania gruntu do wykonania nasypów, położone poza pasem robót drogowych.</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1.4.20. </w:t>
      </w:r>
      <w:r w:rsidRPr="007078D3">
        <w:rPr>
          <w:color w:val="000000"/>
          <w:sz w:val="20"/>
          <w:szCs w:val="20"/>
        </w:rPr>
        <w:t>Odkład - miejsce wbudowania lub składowania (odwiezienia) gruntów pozyskanych w czasie wykonywania wykopów, a niewykorzystanych do budowy nasypów oraz innych prac związanych z trasą drogową.</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1.4.21. </w:t>
      </w:r>
      <w:r w:rsidRPr="007078D3">
        <w:rPr>
          <w:color w:val="000000"/>
          <w:sz w:val="20"/>
          <w:szCs w:val="20"/>
        </w:rPr>
        <w:t>Wskaźnik zagęszczenia gruntu - wielkość charakteryzująca stan zagęszczenia gruntu, badana zgodnie z procedurą według normy BN-77/8931-12 [11]), określona wg wzoru:</w:t>
      </w:r>
    </w:p>
    <w:p w:rsidR="0034055A" w:rsidRPr="007078D3" w:rsidRDefault="0034055A" w:rsidP="00ED04E8">
      <w:pPr>
        <w:pStyle w:val="standardowytekst"/>
        <w:spacing w:before="0" w:beforeAutospacing="0" w:after="0" w:afterAutospacing="0"/>
        <w:jc w:val="center"/>
        <w:rPr>
          <w:color w:val="000000"/>
          <w:sz w:val="20"/>
          <w:szCs w:val="20"/>
        </w:rPr>
      </w:pPr>
      <w:r w:rsidRPr="007078D3">
        <w:rPr>
          <w:noProof/>
          <w:color w:val="000000"/>
          <w:sz w:val="20"/>
          <w:szCs w:val="20"/>
          <w:vertAlign w:val="subscript"/>
        </w:rPr>
        <w:drawing>
          <wp:inline distT="0" distB="0" distL="0" distR="0">
            <wp:extent cx="498475" cy="379730"/>
            <wp:effectExtent l="0" t="0" r="0" b="0"/>
            <wp:docPr id="186777822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8475" cy="379730"/>
                    </a:xfrm>
                    <a:prstGeom prst="rect">
                      <a:avLst/>
                    </a:prstGeom>
                    <a:noFill/>
                    <a:ln>
                      <a:noFill/>
                    </a:ln>
                  </pic:spPr>
                </pic:pic>
              </a:graphicData>
            </a:graphic>
          </wp:inline>
        </w:drawing>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gdzie:</w:t>
      </w:r>
    </w:p>
    <w:p w:rsidR="0034055A" w:rsidRPr="007078D3" w:rsidRDefault="0034055A" w:rsidP="00ED04E8">
      <w:pPr>
        <w:pStyle w:val="standardowytekst"/>
        <w:spacing w:before="0" w:beforeAutospacing="0" w:after="0" w:afterAutospacing="0"/>
        <w:ind w:left="709" w:hanging="709"/>
        <w:rPr>
          <w:color w:val="000000"/>
          <w:sz w:val="20"/>
          <w:szCs w:val="20"/>
        </w:rPr>
      </w:pPr>
      <w:r w:rsidRPr="007078D3">
        <w:rPr>
          <w:i/>
          <w:iCs/>
          <w:color w:val="000000"/>
          <w:sz w:val="20"/>
          <w:szCs w:val="20"/>
        </w:rPr>
        <w:t>r</w:t>
      </w:r>
      <w:r w:rsidRPr="007078D3">
        <w:rPr>
          <w:color w:val="000000"/>
          <w:sz w:val="20"/>
          <w:szCs w:val="20"/>
          <w:vertAlign w:val="subscript"/>
        </w:rPr>
        <w:t>d</w:t>
      </w:r>
      <w:r w:rsidRPr="007078D3">
        <w:rPr>
          <w:color w:val="000000"/>
          <w:sz w:val="20"/>
          <w:szCs w:val="20"/>
        </w:rPr>
        <w:t>    -    gęstość objętościowa szkieletu zagęszczonego gruntu, lub materiału antropogenicznego, (Mg/m</w:t>
      </w:r>
      <w:r w:rsidRPr="007078D3">
        <w:rPr>
          <w:color w:val="000000"/>
          <w:sz w:val="20"/>
          <w:szCs w:val="20"/>
          <w:vertAlign w:val="superscript"/>
        </w:rPr>
        <w:t>3</w:t>
      </w:r>
      <w:r w:rsidRPr="007078D3">
        <w:rPr>
          <w:color w:val="000000"/>
          <w:sz w:val="20"/>
          <w:szCs w:val="20"/>
        </w:rPr>
        <w:t>),</w:t>
      </w:r>
    </w:p>
    <w:p w:rsidR="0034055A" w:rsidRPr="007078D3" w:rsidRDefault="0034055A" w:rsidP="00ED04E8">
      <w:pPr>
        <w:pStyle w:val="standardowytekst"/>
        <w:spacing w:before="0" w:beforeAutospacing="0" w:after="0" w:afterAutospacing="0"/>
        <w:ind w:left="709" w:hanging="709"/>
        <w:rPr>
          <w:color w:val="000000"/>
          <w:sz w:val="20"/>
          <w:szCs w:val="20"/>
        </w:rPr>
      </w:pPr>
      <w:r w:rsidRPr="007078D3">
        <w:rPr>
          <w:i/>
          <w:iCs/>
          <w:color w:val="000000"/>
          <w:sz w:val="20"/>
          <w:szCs w:val="20"/>
        </w:rPr>
        <w:t>r</w:t>
      </w:r>
      <w:r w:rsidRPr="007078D3">
        <w:rPr>
          <w:color w:val="000000"/>
          <w:sz w:val="20"/>
          <w:szCs w:val="20"/>
          <w:vertAlign w:val="subscript"/>
        </w:rPr>
        <w:t>ds</w:t>
      </w:r>
      <w:r w:rsidRPr="007078D3">
        <w:rPr>
          <w:color w:val="000000"/>
          <w:sz w:val="20"/>
          <w:szCs w:val="20"/>
        </w:rPr>
        <w:t>   -    maksymalna gęstość objętościowa szkieletu gruntowego przy wilgotności optymalnej, ziemnych określona w normalnej próbie </w:t>
      </w:r>
      <w:r w:rsidRPr="007078D3">
        <w:rPr>
          <w:rStyle w:val="spelle"/>
          <w:color w:val="000000"/>
          <w:sz w:val="20"/>
          <w:szCs w:val="20"/>
        </w:rPr>
        <w:t>Proctora</w:t>
      </w:r>
      <w:r w:rsidRPr="007078D3">
        <w:rPr>
          <w:color w:val="000000"/>
          <w:sz w:val="20"/>
          <w:szCs w:val="20"/>
        </w:rPr>
        <w:t>, (Mg/m</w:t>
      </w:r>
      <w:r w:rsidRPr="007078D3">
        <w:rPr>
          <w:color w:val="000000"/>
          <w:sz w:val="20"/>
          <w:szCs w:val="20"/>
          <w:vertAlign w:val="superscript"/>
        </w:rPr>
        <w:t>3</w:t>
      </w:r>
      <w:r w:rsidRPr="007078D3">
        <w:rPr>
          <w:color w:val="000000"/>
          <w:sz w:val="20"/>
          <w:szCs w:val="20"/>
        </w:rPr>
        <w:t>).</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1.4.22. </w:t>
      </w:r>
      <w:r w:rsidRPr="007078D3">
        <w:rPr>
          <w:color w:val="000000"/>
          <w:sz w:val="20"/>
          <w:szCs w:val="20"/>
        </w:rPr>
        <w:t>Wskaźnik jednorodności uziarnienia - wielkość charakteryzująca </w:t>
      </w:r>
      <w:r w:rsidRPr="007078D3">
        <w:rPr>
          <w:rStyle w:val="spelle"/>
          <w:color w:val="000000"/>
          <w:sz w:val="20"/>
          <w:szCs w:val="20"/>
        </w:rPr>
        <w:t>zagęszczalność</w:t>
      </w:r>
      <w:r w:rsidRPr="007078D3">
        <w:rPr>
          <w:color w:val="000000"/>
          <w:sz w:val="20"/>
          <w:szCs w:val="20"/>
        </w:rPr>
        <w:t> gruntów niespoistych, określona wg wzoru:</w:t>
      </w:r>
    </w:p>
    <w:p w:rsidR="0034055A" w:rsidRPr="007078D3" w:rsidRDefault="0034055A" w:rsidP="00ED04E8">
      <w:pPr>
        <w:pStyle w:val="standardowytekst"/>
        <w:spacing w:before="0" w:beforeAutospacing="0" w:after="0" w:afterAutospacing="0"/>
        <w:jc w:val="center"/>
        <w:rPr>
          <w:color w:val="000000"/>
          <w:sz w:val="20"/>
          <w:szCs w:val="20"/>
        </w:rPr>
      </w:pPr>
      <w:r w:rsidRPr="007078D3">
        <w:rPr>
          <w:noProof/>
          <w:color w:val="000000"/>
          <w:sz w:val="20"/>
          <w:szCs w:val="20"/>
          <w:vertAlign w:val="subscript"/>
        </w:rPr>
        <w:drawing>
          <wp:inline distT="0" distB="0" distL="0" distR="0">
            <wp:extent cx="498475" cy="379730"/>
            <wp:effectExtent l="0" t="0" r="0" b="0"/>
            <wp:docPr id="88730727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8475" cy="379730"/>
                    </a:xfrm>
                    <a:prstGeom prst="rect">
                      <a:avLst/>
                    </a:prstGeom>
                    <a:noFill/>
                    <a:ln>
                      <a:noFill/>
                    </a:ln>
                  </pic:spPr>
                </pic:pic>
              </a:graphicData>
            </a:graphic>
          </wp:inline>
        </w:drawing>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gdzie:</w:t>
      </w:r>
    </w:p>
    <w:p w:rsidR="0034055A" w:rsidRPr="007078D3" w:rsidRDefault="0034055A" w:rsidP="00ED04E8">
      <w:pPr>
        <w:pStyle w:val="standardowytekst"/>
        <w:spacing w:before="0" w:beforeAutospacing="0" w:after="0" w:afterAutospacing="0"/>
        <w:rPr>
          <w:color w:val="000000"/>
          <w:sz w:val="20"/>
          <w:szCs w:val="20"/>
        </w:rPr>
      </w:pPr>
      <w:r w:rsidRPr="007078D3">
        <w:rPr>
          <w:i/>
          <w:iCs/>
          <w:color w:val="000000"/>
          <w:sz w:val="20"/>
          <w:szCs w:val="20"/>
        </w:rPr>
        <w:t>d</w:t>
      </w:r>
      <w:r w:rsidRPr="007078D3">
        <w:rPr>
          <w:i/>
          <w:iCs/>
          <w:color w:val="000000"/>
          <w:sz w:val="20"/>
          <w:szCs w:val="20"/>
          <w:vertAlign w:val="subscript"/>
        </w:rPr>
        <w:t>60</w:t>
      </w:r>
      <w:r w:rsidRPr="007078D3">
        <w:rPr>
          <w:color w:val="000000"/>
          <w:sz w:val="20"/>
          <w:szCs w:val="20"/>
        </w:rPr>
        <w:t>  -    wymiar cząstek, których masa wraz z mniejszymi stanowi 60% masy próbki wysuszonej (mm),</w:t>
      </w:r>
    </w:p>
    <w:p w:rsidR="0034055A" w:rsidRPr="007078D3" w:rsidRDefault="0034055A" w:rsidP="00ED04E8">
      <w:pPr>
        <w:pStyle w:val="standardowytekst"/>
        <w:spacing w:before="0" w:beforeAutospacing="0" w:after="0" w:afterAutospacing="0"/>
        <w:rPr>
          <w:color w:val="000000"/>
          <w:sz w:val="20"/>
          <w:szCs w:val="20"/>
        </w:rPr>
      </w:pPr>
      <w:r w:rsidRPr="007078D3">
        <w:rPr>
          <w:i/>
          <w:iCs/>
          <w:color w:val="000000"/>
          <w:sz w:val="20"/>
          <w:szCs w:val="20"/>
        </w:rPr>
        <w:t>d</w:t>
      </w:r>
      <w:r w:rsidRPr="007078D3">
        <w:rPr>
          <w:i/>
          <w:iCs/>
          <w:color w:val="000000"/>
          <w:sz w:val="20"/>
          <w:szCs w:val="20"/>
          <w:vertAlign w:val="subscript"/>
        </w:rPr>
        <w:t>10</w:t>
      </w:r>
      <w:r w:rsidRPr="007078D3">
        <w:rPr>
          <w:color w:val="000000"/>
          <w:sz w:val="20"/>
          <w:szCs w:val="20"/>
        </w:rPr>
        <w:t>  -    wymiar cząstek, których masa wraz z mniejszymi stanowi 10% masy próbki wysuszonej (mm).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1.4.23.</w:t>
      </w:r>
      <w:r w:rsidRPr="007078D3">
        <w:rPr>
          <w:color w:val="000000"/>
          <w:sz w:val="20"/>
          <w:szCs w:val="20"/>
        </w:rPr>
        <w:t> Wskaźnik odkształcenia gruntu - wielkość charakteryzująca stan zagęszczenia gruntu, określona wg wzoru:</w:t>
      </w:r>
    </w:p>
    <w:p w:rsidR="0034055A" w:rsidRPr="007078D3" w:rsidRDefault="0034055A" w:rsidP="00ED04E8">
      <w:pPr>
        <w:pStyle w:val="standardowytekst"/>
        <w:spacing w:before="0" w:beforeAutospacing="0" w:after="0" w:afterAutospacing="0"/>
        <w:jc w:val="center"/>
        <w:rPr>
          <w:color w:val="000000"/>
          <w:sz w:val="20"/>
          <w:szCs w:val="20"/>
        </w:rPr>
      </w:pPr>
      <w:r w:rsidRPr="007078D3">
        <w:rPr>
          <w:noProof/>
          <w:color w:val="000000"/>
          <w:sz w:val="20"/>
          <w:szCs w:val="20"/>
          <w:vertAlign w:val="subscript"/>
        </w:rPr>
        <w:drawing>
          <wp:inline distT="0" distB="0" distL="0" distR="0">
            <wp:extent cx="462915" cy="379730"/>
            <wp:effectExtent l="0" t="0" r="0" b="0"/>
            <wp:docPr id="8907772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2915" cy="379730"/>
                    </a:xfrm>
                    <a:prstGeom prst="rect">
                      <a:avLst/>
                    </a:prstGeom>
                    <a:noFill/>
                    <a:ln>
                      <a:noFill/>
                    </a:ln>
                  </pic:spPr>
                </pic:pic>
              </a:graphicData>
            </a:graphic>
          </wp:inline>
        </w:drawing>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gdzie:</w:t>
      </w:r>
    </w:p>
    <w:p w:rsidR="0034055A" w:rsidRPr="007078D3" w:rsidRDefault="0034055A" w:rsidP="00ED04E8">
      <w:pPr>
        <w:pStyle w:val="standardowytekst"/>
        <w:spacing w:before="0" w:beforeAutospacing="0" w:after="0" w:afterAutospacing="0"/>
        <w:rPr>
          <w:color w:val="000000"/>
          <w:sz w:val="20"/>
          <w:szCs w:val="20"/>
        </w:rPr>
      </w:pPr>
      <w:r w:rsidRPr="007078D3">
        <w:rPr>
          <w:i/>
          <w:iCs/>
          <w:color w:val="000000"/>
          <w:sz w:val="20"/>
          <w:szCs w:val="20"/>
        </w:rPr>
        <w:t>E</w:t>
      </w:r>
      <w:r w:rsidRPr="007078D3">
        <w:rPr>
          <w:i/>
          <w:iCs/>
          <w:color w:val="000000"/>
          <w:sz w:val="20"/>
          <w:szCs w:val="20"/>
          <w:vertAlign w:val="subscript"/>
        </w:rPr>
        <w:t>1</w:t>
      </w:r>
      <w:r w:rsidRPr="007078D3">
        <w:rPr>
          <w:color w:val="000000"/>
          <w:sz w:val="20"/>
          <w:szCs w:val="20"/>
        </w:rPr>
        <w:t>   -    moduł odkształcenia gruntu oznaczony w pierwszym obciążeniu badanej warstwy zgodnie z PN-S-02205 [6],</w:t>
      </w:r>
    </w:p>
    <w:p w:rsidR="0034055A" w:rsidRPr="007078D3" w:rsidRDefault="0034055A" w:rsidP="00ED04E8">
      <w:pPr>
        <w:pStyle w:val="standardowytekst"/>
        <w:spacing w:before="0" w:beforeAutospacing="0" w:after="0" w:afterAutospacing="0"/>
        <w:rPr>
          <w:color w:val="000000"/>
          <w:sz w:val="20"/>
          <w:szCs w:val="20"/>
        </w:rPr>
      </w:pPr>
      <w:r w:rsidRPr="007078D3">
        <w:rPr>
          <w:i/>
          <w:iCs/>
          <w:color w:val="000000"/>
          <w:sz w:val="20"/>
          <w:szCs w:val="20"/>
        </w:rPr>
        <w:t>E</w:t>
      </w:r>
      <w:r w:rsidRPr="007078D3">
        <w:rPr>
          <w:i/>
          <w:iCs/>
          <w:color w:val="000000"/>
          <w:sz w:val="20"/>
          <w:szCs w:val="20"/>
          <w:vertAlign w:val="subscript"/>
        </w:rPr>
        <w:t>2</w:t>
      </w:r>
      <w:r w:rsidRPr="007078D3">
        <w:rPr>
          <w:color w:val="000000"/>
          <w:sz w:val="20"/>
          <w:szCs w:val="20"/>
        </w:rPr>
        <w:t>   -    moduł odkształcenia gruntu oznaczony w powtórnym obciążeniu badanej warstwy zgodnie z PN-S-02205 [6].</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1.4.24. </w:t>
      </w:r>
      <w:r w:rsidRPr="007078D3">
        <w:rPr>
          <w:color w:val="000000"/>
          <w:sz w:val="20"/>
          <w:szCs w:val="20"/>
        </w:rPr>
        <w:t>Moduł odkształcenia gruntu – wielkość charakteryzująca nośność na powierzchni warstwy gruntu lub materiału antropogenicznego, badana zgodnie z procedurą według PN-S-02205 [6], załącznik B, określana wg wzoru</w:t>
      </w:r>
    </w:p>
    <w:p w:rsidR="0034055A" w:rsidRPr="007078D3" w:rsidRDefault="0034055A" w:rsidP="00ED04E8">
      <w:pPr>
        <w:pStyle w:val="standardowytekst"/>
        <w:spacing w:before="0" w:beforeAutospacing="0" w:after="0" w:afterAutospacing="0"/>
        <w:jc w:val="center"/>
        <w:rPr>
          <w:color w:val="000000"/>
          <w:sz w:val="20"/>
          <w:szCs w:val="20"/>
        </w:rPr>
      </w:pPr>
      <w:r w:rsidRPr="007078D3">
        <w:rPr>
          <w:color w:val="000000"/>
          <w:sz w:val="20"/>
          <w:szCs w:val="20"/>
        </w:rPr>
        <w:t> </w:t>
      </w:r>
    </w:p>
    <w:p w:rsidR="0034055A" w:rsidRPr="007078D3" w:rsidRDefault="0034055A" w:rsidP="00ED04E8">
      <w:pPr>
        <w:pStyle w:val="standardowytekst"/>
        <w:spacing w:before="0" w:beforeAutospacing="0" w:after="0" w:afterAutospacing="0"/>
        <w:jc w:val="center"/>
        <w:rPr>
          <w:color w:val="000000"/>
          <w:sz w:val="20"/>
          <w:szCs w:val="20"/>
        </w:rPr>
      </w:pPr>
      <w:r w:rsidRPr="007078D3">
        <w:rPr>
          <w:color w:val="000000"/>
          <w:sz w:val="20"/>
          <w:szCs w:val="20"/>
        </w:rPr>
        <w:t>E</w:t>
      </w:r>
      <w:r w:rsidRPr="007078D3">
        <w:rPr>
          <w:color w:val="000000"/>
          <w:sz w:val="20"/>
          <w:szCs w:val="20"/>
          <w:vertAlign w:val="subscript"/>
        </w:rPr>
        <w:t>i</w:t>
      </w:r>
      <w:r w:rsidRPr="007078D3">
        <w:rPr>
          <w:color w:val="000000"/>
          <w:sz w:val="20"/>
          <w:szCs w:val="20"/>
        </w:rPr>
        <w:t>=0.75 *</w:t>
      </w:r>
      <w:r w:rsidRPr="007078D3">
        <w:rPr>
          <w:rStyle w:val="spelle"/>
          <w:color w:val="000000"/>
          <w:sz w:val="20"/>
          <w:szCs w:val="20"/>
        </w:rPr>
        <w:t>Δp*D</w:t>
      </w:r>
      <w:r w:rsidRPr="007078D3">
        <w:rPr>
          <w:color w:val="000000"/>
          <w:sz w:val="20"/>
          <w:szCs w:val="20"/>
        </w:rPr>
        <w:t>/</w:t>
      </w:r>
      <w:r w:rsidRPr="007078D3">
        <w:rPr>
          <w:rStyle w:val="spelle"/>
          <w:color w:val="000000"/>
          <w:sz w:val="20"/>
          <w:szCs w:val="20"/>
        </w:rPr>
        <w:t>Δs</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Gdzie:</w:t>
      </w:r>
    </w:p>
    <w:p w:rsidR="0034055A" w:rsidRPr="007078D3" w:rsidRDefault="0034055A" w:rsidP="00ED04E8">
      <w:pPr>
        <w:pStyle w:val="standardowytekst"/>
        <w:spacing w:before="0" w:beforeAutospacing="0" w:after="0" w:afterAutospacing="0"/>
        <w:rPr>
          <w:color w:val="000000"/>
          <w:sz w:val="20"/>
          <w:szCs w:val="20"/>
        </w:rPr>
      </w:pPr>
      <w:r w:rsidRPr="007078D3">
        <w:rPr>
          <w:rStyle w:val="spelle"/>
          <w:color w:val="000000"/>
          <w:sz w:val="20"/>
          <w:szCs w:val="20"/>
        </w:rPr>
        <w:t>Ei</w:t>
      </w:r>
      <w:r w:rsidRPr="007078D3">
        <w:rPr>
          <w:color w:val="000000"/>
          <w:sz w:val="20"/>
          <w:szCs w:val="20"/>
        </w:rPr>
        <w:t> – moduł odkształcenia gruntu [</w:t>
      </w:r>
      <w:r w:rsidRPr="007078D3">
        <w:rPr>
          <w:rStyle w:val="spelle"/>
          <w:color w:val="000000"/>
          <w:sz w:val="20"/>
          <w:szCs w:val="20"/>
        </w:rPr>
        <w:t>MPa</w:t>
      </w:r>
      <w:r w:rsidRPr="007078D3">
        <w:rPr>
          <w:color w:val="000000"/>
          <w:sz w:val="20"/>
          <w:szCs w:val="20"/>
        </w:rPr>
        <w:t>],</w:t>
      </w:r>
    </w:p>
    <w:p w:rsidR="0034055A" w:rsidRPr="007078D3" w:rsidRDefault="0034055A" w:rsidP="00ED04E8">
      <w:pPr>
        <w:pStyle w:val="standardowytekst"/>
        <w:spacing w:before="0" w:beforeAutospacing="0" w:after="0" w:afterAutospacing="0"/>
        <w:rPr>
          <w:color w:val="000000"/>
          <w:sz w:val="20"/>
          <w:szCs w:val="20"/>
        </w:rPr>
      </w:pPr>
      <w:r w:rsidRPr="007078D3">
        <w:rPr>
          <w:rStyle w:val="spelle"/>
          <w:color w:val="000000"/>
          <w:sz w:val="20"/>
          <w:szCs w:val="20"/>
        </w:rPr>
        <w:t>Δp</w:t>
      </w:r>
      <w:r w:rsidRPr="007078D3">
        <w:rPr>
          <w:color w:val="000000"/>
          <w:sz w:val="20"/>
          <w:szCs w:val="20"/>
        </w:rPr>
        <w:t> – przyrost obciążenia jednostkowego [</w:t>
      </w:r>
      <w:r w:rsidRPr="007078D3">
        <w:rPr>
          <w:rStyle w:val="spelle"/>
          <w:color w:val="000000"/>
          <w:sz w:val="20"/>
          <w:szCs w:val="20"/>
        </w:rPr>
        <w:t>MPa</w:t>
      </w:r>
      <w:r w:rsidRPr="007078D3">
        <w:rPr>
          <w:color w:val="000000"/>
          <w:sz w:val="20"/>
          <w:szCs w:val="20"/>
        </w:rPr>
        <w:t>],</w:t>
      </w:r>
    </w:p>
    <w:p w:rsidR="0034055A" w:rsidRPr="007078D3" w:rsidRDefault="0034055A" w:rsidP="00ED04E8">
      <w:pPr>
        <w:pStyle w:val="standardowytekst"/>
        <w:spacing w:before="0" w:beforeAutospacing="0" w:after="0" w:afterAutospacing="0"/>
        <w:rPr>
          <w:color w:val="000000"/>
          <w:sz w:val="20"/>
          <w:szCs w:val="20"/>
        </w:rPr>
      </w:pPr>
      <w:r w:rsidRPr="007078D3">
        <w:rPr>
          <w:rStyle w:val="spelle"/>
          <w:color w:val="000000"/>
          <w:sz w:val="20"/>
          <w:szCs w:val="20"/>
        </w:rPr>
        <w:t>Δs</w:t>
      </w:r>
      <w:r w:rsidRPr="007078D3">
        <w:rPr>
          <w:color w:val="000000"/>
          <w:sz w:val="20"/>
          <w:szCs w:val="20"/>
        </w:rPr>
        <w:t> – przyrost osiadania odpowiadający przyrostowi obciążenia jednostkowego [mm],</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D-średnica płyty [mm].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1.4.25</w:t>
      </w:r>
      <w:r w:rsidRPr="007078D3">
        <w:rPr>
          <w:color w:val="000000"/>
          <w:sz w:val="20"/>
          <w:szCs w:val="20"/>
        </w:rPr>
        <w:t>. </w:t>
      </w:r>
      <w:r w:rsidRPr="007078D3">
        <w:rPr>
          <w:rStyle w:val="spelle"/>
          <w:color w:val="000000"/>
          <w:sz w:val="20"/>
          <w:szCs w:val="20"/>
        </w:rPr>
        <w:t>Geosyntetyk</w:t>
      </w:r>
      <w:r w:rsidRPr="007078D3">
        <w:rPr>
          <w:color w:val="000000"/>
          <w:sz w:val="20"/>
          <w:szCs w:val="20"/>
        </w:rPr>
        <w:t> - wyrób, którego przynajmniej jeden składnik wytworzony został z polimeru (poliestru, polipropylenu, polietylenu lub poliamidu), mający postać arkusza, paska lub formy przestrzennej, stosowany w kontakcie z gruntem (lub innym materiałem) w geotechnice, fundamentowaniu i budownictwie lądowym i wodnym.</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1.4.26. </w:t>
      </w:r>
      <w:r w:rsidRPr="007078D3">
        <w:rPr>
          <w:color w:val="000000"/>
          <w:sz w:val="20"/>
          <w:szCs w:val="20"/>
        </w:rPr>
        <w:t xml:space="preserve">Pozostałe określenia podstawowe są zgodne z obowiązującymi, odpowiednimi polskimi normami i z definicjami podanymi w </w:t>
      </w:r>
      <w:r w:rsidR="00985629">
        <w:rPr>
          <w:color w:val="000000"/>
          <w:sz w:val="20"/>
          <w:szCs w:val="20"/>
        </w:rPr>
        <w:t>SST</w:t>
      </w:r>
      <w:r w:rsidRPr="007078D3">
        <w:rPr>
          <w:color w:val="000000"/>
          <w:sz w:val="20"/>
          <w:szCs w:val="20"/>
        </w:rPr>
        <w:t xml:space="preserve"> D-M-00.00.00 „Wymagania ogólne”[1] </w:t>
      </w:r>
      <w:r w:rsidRPr="007078D3">
        <w:rPr>
          <w:rStyle w:val="spelle"/>
          <w:color w:val="000000"/>
          <w:sz w:val="20"/>
          <w:szCs w:val="20"/>
        </w:rPr>
        <w:t>pkt</w:t>
      </w:r>
      <w:r w:rsidRPr="007078D3">
        <w:rPr>
          <w:color w:val="000000"/>
          <w:sz w:val="20"/>
          <w:szCs w:val="20"/>
        </w:rPr>
        <w:t> 1.4.</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78" w:name="_Toc405615035"/>
      <w:bookmarkStart w:id="79" w:name="_Toc407161183"/>
      <w:bookmarkEnd w:id="78"/>
      <w:bookmarkEnd w:id="79"/>
      <w:r w:rsidRPr="007078D3">
        <w:rPr>
          <w:rFonts w:ascii="Times New Roman" w:hAnsi="Times New Roman"/>
          <w:color w:val="000000"/>
          <w:szCs w:val="20"/>
        </w:rPr>
        <w:t>1.5. Ogólne wymagania dotyczące robót</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Ogólne wymagania dotyczące robót podano w </w:t>
      </w:r>
      <w:r w:rsidR="00985629">
        <w:rPr>
          <w:color w:val="000000"/>
          <w:sz w:val="20"/>
          <w:szCs w:val="20"/>
        </w:rPr>
        <w:t>SST</w:t>
      </w:r>
      <w:r w:rsidRPr="007078D3">
        <w:rPr>
          <w:color w:val="000000"/>
          <w:sz w:val="20"/>
          <w:szCs w:val="20"/>
        </w:rPr>
        <w:t xml:space="preserve"> D-M-00.00.00 [1] </w:t>
      </w:r>
      <w:r w:rsidRPr="007078D3">
        <w:rPr>
          <w:rStyle w:val="spelle"/>
          <w:color w:val="000000"/>
          <w:sz w:val="20"/>
          <w:szCs w:val="20"/>
        </w:rPr>
        <w:t>pkt</w:t>
      </w:r>
      <w:r w:rsidRPr="007078D3">
        <w:rPr>
          <w:color w:val="000000"/>
          <w:sz w:val="20"/>
          <w:szCs w:val="20"/>
        </w:rPr>
        <w:t> 1.5.</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80" w:name="_Toc17408012"/>
      <w:bookmarkStart w:id="81" w:name="_Toc17407893"/>
      <w:bookmarkStart w:id="82" w:name="_Toc17407769"/>
      <w:bookmarkStart w:id="83" w:name="_Toc17407534"/>
      <w:bookmarkStart w:id="84" w:name="_2._Materiały"/>
      <w:bookmarkEnd w:id="80"/>
      <w:bookmarkEnd w:id="81"/>
      <w:bookmarkEnd w:id="82"/>
      <w:bookmarkEnd w:id="83"/>
      <w:bookmarkEnd w:id="84"/>
      <w:r w:rsidRPr="007078D3">
        <w:rPr>
          <w:rFonts w:ascii="Times New Roman" w:hAnsi="Times New Roman"/>
          <w:caps/>
          <w:color w:val="000000"/>
          <w:szCs w:val="20"/>
        </w:rPr>
        <w:lastRenderedPageBreak/>
        <w:t>2. MATERIAŁY</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85" w:name="_Toc405615037"/>
      <w:bookmarkStart w:id="86" w:name="_Toc407161185"/>
      <w:bookmarkEnd w:id="85"/>
      <w:bookmarkEnd w:id="86"/>
      <w:r w:rsidRPr="007078D3">
        <w:rPr>
          <w:rFonts w:ascii="Times New Roman" w:hAnsi="Times New Roman"/>
          <w:color w:val="000000"/>
          <w:szCs w:val="20"/>
        </w:rPr>
        <w:t>2.1. Ogólne wymagania dotyczące materiałów</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Ogólne wymagania dotyczące materiałów, ich pozyskiwania i składowania, podano w </w:t>
      </w:r>
      <w:r w:rsidR="00985629">
        <w:rPr>
          <w:color w:val="000000"/>
          <w:sz w:val="20"/>
          <w:szCs w:val="20"/>
        </w:rPr>
        <w:t>SST</w:t>
      </w:r>
      <w:r w:rsidRPr="007078D3">
        <w:rPr>
          <w:color w:val="000000"/>
          <w:sz w:val="20"/>
          <w:szCs w:val="20"/>
        </w:rPr>
        <w:t xml:space="preserve"> D-M-00.00.00 „Wymagania ogólne” </w:t>
      </w:r>
      <w:r w:rsidRPr="007078D3">
        <w:rPr>
          <w:rStyle w:val="spelle"/>
          <w:color w:val="000000"/>
          <w:sz w:val="20"/>
          <w:szCs w:val="20"/>
        </w:rPr>
        <w:t>pkt</w:t>
      </w:r>
      <w:r w:rsidRPr="007078D3">
        <w:rPr>
          <w:color w:val="000000"/>
          <w:sz w:val="20"/>
          <w:szCs w:val="20"/>
        </w:rPr>
        <w:t> 2.</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87" w:name="_Toc405615039"/>
      <w:bookmarkStart w:id="88" w:name="_Toc407161187"/>
      <w:bookmarkEnd w:id="87"/>
      <w:bookmarkEnd w:id="88"/>
      <w:r w:rsidRPr="007078D3">
        <w:rPr>
          <w:rFonts w:ascii="Times New Roman" w:hAnsi="Times New Roman"/>
          <w:color w:val="000000"/>
          <w:szCs w:val="20"/>
        </w:rPr>
        <w:t>2.2. Zasady wykorzystania gruntów</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Grunty i materiały nieprzydatne do budowy nasypów, określone w </w:t>
      </w:r>
      <w:r w:rsidR="00985629">
        <w:rPr>
          <w:color w:val="000000"/>
          <w:sz w:val="20"/>
          <w:szCs w:val="20"/>
        </w:rPr>
        <w:t>SST</w:t>
      </w:r>
      <w:r w:rsidRPr="007078D3">
        <w:rPr>
          <w:color w:val="000000"/>
          <w:sz w:val="20"/>
          <w:szCs w:val="20"/>
        </w:rPr>
        <w:t xml:space="preserve"> D-02.03.01 [3] </w:t>
      </w:r>
      <w:r w:rsidRPr="007078D3">
        <w:rPr>
          <w:rStyle w:val="spelle"/>
          <w:color w:val="000000"/>
          <w:sz w:val="20"/>
          <w:szCs w:val="20"/>
        </w:rPr>
        <w:t>pkt</w:t>
      </w:r>
      <w:r w:rsidRPr="007078D3">
        <w:rPr>
          <w:color w:val="000000"/>
          <w:sz w:val="20"/>
          <w:szCs w:val="20"/>
        </w:rPr>
        <w:t> 2, powinny być wywiezione przez Wykonawcę na odkład. Zapewnienie terenów na odkład należy do obowiązków Zamawiającego, o ile nie określono tego inaczej w kontrakcie. Inżynier może nakazać pozostawienie na terenie budowy gruntów, których czasowa nieprzydatność wynika jedynie z powodu zamarznięcia lub nadmiernej wilgotności.</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Przydatność gruntów z wykopów do wykonania budowli ziemnych we wstępnej fazie powinna zostać oceniona makroskopowo, natomiast przeznaczenie ich do dedykowanej warstwy powinno odbyć się na podstawie parametrów zbadanych metodami laboratoryjnymi.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Grunty i materiały do wykonania budowli ziemnych w zależności od ich przeznaczenia do wbudowania w konkretną warstwę podaje tabela 1.</w:t>
      </w:r>
    </w:p>
    <w:p w:rsidR="0034055A" w:rsidRPr="007078D3" w:rsidRDefault="0034055A" w:rsidP="00ED04E8">
      <w:pPr>
        <w:pStyle w:val="Legenda"/>
        <w:spacing w:before="0" w:beforeAutospacing="0" w:after="0" w:afterAutospacing="0"/>
        <w:jc w:val="both"/>
        <w:rPr>
          <w:color w:val="000000"/>
          <w:sz w:val="20"/>
          <w:szCs w:val="20"/>
        </w:rPr>
      </w:pPr>
      <w:bookmarkStart w:id="89" w:name="_Toc24581324"/>
      <w:r w:rsidRPr="007078D3">
        <w:rPr>
          <w:color w:val="000000"/>
          <w:sz w:val="20"/>
          <w:szCs w:val="20"/>
        </w:rPr>
        <w:t>Tabela </w:t>
      </w:r>
      <w:bookmarkEnd w:id="89"/>
      <w:r w:rsidRPr="007078D3">
        <w:rPr>
          <w:color w:val="000000"/>
          <w:sz w:val="20"/>
          <w:szCs w:val="20"/>
        </w:rPr>
        <w:t>1. Przydatność gruntów do wykonywania budowli ziemnych wg PN-S-02205 [6]</w:t>
      </w:r>
    </w:p>
    <w:tbl>
      <w:tblPr>
        <w:tblW w:w="0" w:type="auto"/>
        <w:shd w:val="clear" w:color="auto" w:fill="EAEAEA"/>
        <w:tblCellMar>
          <w:left w:w="0" w:type="dxa"/>
          <w:right w:w="0" w:type="dxa"/>
        </w:tblCellMar>
        <w:tblLook w:val="04A0"/>
      </w:tblPr>
      <w:tblGrid>
        <w:gridCol w:w="1775"/>
        <w:gridCol w:w="2045"/>
        <w:gridCol w:w="2551"/>
        <w:gridCol w:w="2977"/>
      </w:tblGrid>
      <w:tr w:rsidR="0034055A" w:rsidRPr="007078D3" w:rsidTr="0034055A">
        <w:tc>
          <w:tcPr>
            <w:tcW w:w="1346" w:type="dxa"/>
            <w:tcBorders>
              <w:top w:val="single" w:sz="8" w:space="0" w:color="auto"/>
              <w:left w:val="single" w:sz="8" w:space="0" w:color="auto"/>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jc w:val="center"/>
              <w:rPr>
                <w:rFonts w:ascii="Times New Roman" w:hAnsi="Times New Roman" w:cs="Times New Roman"/>
                <w:sz w:val="18"/>
                <w:szCs w:val="18"/>
              </w:rPr>
            </w:pPr>
            <w:r w:rsidRPr="007078D3">
              <w:rPr>
                <w:rStyle w:val="spelle"/>
                <w:rFonts w:ascii="Times New Roman" w:hAnsi="Times New Roman" w:cs="Times New Roman"/>
                <w:sz w:val="18"/>
                <w:szCs w:val="18"/>
              </w:rPr>
              <w:t>Przeznacze-nie</w:t>
            </w:r>
          </w:p>
        </w:tc>
        <w:tc>
          <w:tcPr>
            <w:tcW w:w="1985" w:type="dxa"/>
            <w:tcBorders>
              <w:top w:val="single" w:sz="8" w:space="0" w:color="auto"/>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Przydatne</w:t>
            </w:r>
          </w:p>
        </w:tc>
        <w:tc>
          <w:tcPr>
            <w:tcW w:w="2551" w:type="dxa"/>
            <w:tcBorders>
              <w:top w:val="single" w:sz="8" w:space="0" w:color="auto"/>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Przydatne</w:t>
            </w:r>
          </w:p>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z zastrzeżeniami</w:t>
            </w:r>
          </w:p>
        </w:tc>
        <w:tc>
          <w:tcPr>
            <w:tcW w:w="2977" w:type="dxa"/>
            <w:tcBorders>
              <w:top w:val="single" w:sz="8" w:space="0" w:color="auto"/>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Treść</w:t>
            </w:r>
          </w:p>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zastrzeżenia</w:t>
            </w:r>
          </w:p>
        </w:tc>
      </w:tr>
      <w:tr w:rsidR="0034055A" w:rsidRPr="007078D3" w:rsidTr="0034055A">
        <w:trPr>
          <w:trHeight w:val="540"/>
        </w:trPr>
        <w:tc>
          <w:tcPr>
            <w:tcW w:w="1346" w:type="dxa"/>
            <w:vMerge w:val="restart"/>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Na dolne warstwy nasypów poniżej strefy </w:t>
            </w:r>
            <w:r w:rsidRPr="007078D3">
              <w:rPr>
                <w:rStyle w:val="spelle"/>
                <w:rFonts w:ascii="Times New Roman" w:hAnsi="Times New Roman" w:cs="Times New Roman"/>
                <w:sz w:val="18"/>
                <w:szCs w:val="18"/>
              </w:rPr>
              <w:t>przemarza-nia</w:t>
            </w:r>
          </w:p>
        </w:tc>
        <w:tc>
          <w:tcPr>
            <w:tcW w:w="1985" w:type="dxa"/>
            <w:vMerge w:val="restart"/>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1. Rozdrobnione grunty skaliste twarde oraz grunty kamieniste, zwietrzelinowe, rumosze i otoczaki</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2. Żwiry i pospółki, również gliniaste</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3. Piaski grubo, średnio i drobnoziarniste, naturalne i łamane</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4. Piaski gliniaste z domieszką frakcji żwirowo-kamienistej (morenowe) o wskaźniku różnoziarnistości U³15</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5. Żużle wielkopiecowe i inne metalurgiczne ze starych zwałów (powyżej 5 lat)</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6. Łupki przywęgłowe przepalone</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7. Wysiewki kamienne o zawartości frakcji iłowej poniżej 2%</w:t>
            </w: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1. Rozdrobnione grunty skaliste miękkie</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gdy pory w gruncie skalistym będą wypełnione gruntem lub materiałem drobnoziarnistym</w:t>
            </w:r>
          </w:p>
        </w:tc>
      </w:tr>
      <w:tr w:rsidR="0034055A" w:rsidRPr="007078D3" w:rsidTr="0034055A">
        <w:trPr>
          <w:trHeight w:val="1320"/>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2. Zwietrzeliny i rumosze gliniaste</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3. Piaski pylaste, piaski gliniaste, pyły piaszczyste i pyły</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bodytext2"/>
              <w:spacing w:before="0" w:beforeAutospacing="0" w:after="0" w:afterAutospacing="0"/>
              <w:rPr>
                <w:sz w:val="18"/>
                <w:szCs w:val="18"/>
              </w:rPr>
            </w:pPr>
            <w:r w:rsidRPr="007078D3">
              <w:rPr>
                <w:sz w:val="18"/>
                <w:szCs w:val="18"/>
              </w:rPr>
              <w:t>- gdy będą wbudowane w miejsca suche lub zabezpieczone od wód gruntowych i powierzchniowych</w:t>
            </w:r>
          </w:p>
        </w:tc>
      </w:tr>
      <w:tr w:rsidR="0034055A" w:rsidRPr="007078D3" w:rsidTr="0034055A">
        <w:trPr>
          <w:trHeight w:val="780"/>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4. Piaski próchniczne, z wyjątkiem pylastych piasków próchnicznych</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do nasypów nie wyższych niż 3 m, zabezpieczonych przed zawilgoceniem</w:t>
            </w:r>
          </w:p>
        </w:tc>
      </w:tr>
      <w:tr w:rsidR="0034055A" w:rsidRPr="007078D3" w:rsidTr="0034055A">
        <w:trPr>
          <w:trHeight w:val="885"/>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5. Gliny piaszczyste, gliny i gliny pylaste oraz inne o </w:t>
            </w:r>
            <w:r w:rsidRPr="007078D3">
              <w:rPr>
                <w:rStyle w:val="spelle"/>
                <w:rFonts w:ascii="Times New Roman" w:hAnsi="Times New Roman" w:cs="Times New Roman"/>
                <w:sz w:val="18"/>
                <w:szCs w:val="18"/>
              </w:rPr>
              <w:t>w</w:t>
            </w:r>
            <w:r w:rsidRPr="007078D3">
              <w:rPr>
                <w:rStyle w:val="spelle"/>
                <w:rFonts w:ascii="Times New Roman" w:hAnsi="Times New Roman" w:cs="Times New Roman"/>
                <w:sz w:val="18"/>
                <w:szCs w:val="18"/>
                <w:vertAlign w:val="subscript"/>
              </w:rPr>
              <w:t>L</w:t>
            </w:r>
            <w:r w:rsidRPr="007078D3">
              <w:rPr>
                <w:rFonts w:ascii="Times New Roman" w:hAnsi="Times New Roman" w:cs="Times New Roman"/>
                <w:sz w:val="18"/>
                <w:szCs w:val="18"/>
              </w:rPr>
              <w:t> &lt; 35%</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Tekstpodstawowy"/>
              <w:spacing w:after="0"/>
              <w:rPr>
                <w:rFonts w:ascii="Times New Roman" w:hAnsi="Times New Roman" w:cs="Times New Roman"/>
                <w:sz w:val="18"/>
                <w:szCs w:val="18"/>
              </w:rPr>
            </w:pPr>
            <w:r w:rsidRPr="007078D3">
              <w:rPr>
                <w:rFonts w:ascii="Times New Roman" w:hAnsi="Times New Roman" w:cs="Times New Roman"/>
                <w:sz w:val="18"/>
                <w:szCs w:val="18"/>
              </w:rPr>
              <w:t>- w miejscach suchych lub przejściowo zawilgoconych</w:t>
            </w:r>
          </w:p>
        </w:tc>
      </w:tr>
      <w:tr w:rsidR="0034055A" w:rsidRPr="007078D3" w:rsidTr="0034055A">
        <w:trPr>
          <w:trHeight w:val="1635"/>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6. Gliny piaszczyste zwięzłe, gliny zwięzłe i gliny pylaste zwięzłe oraz inne grunty o granicy płynności </w:t>
            </w:r>
            <w:r w:rsidRPr="007078D3">
              <w:rPr>
                <w:rStyle w:val="spelle"/>
                <w:rFonts w:ascii="Times New Roman" w:hAnsi="Times New Roman" w:cs="Times New Roman"/>
                <w:sz w:val="18"/>
                <w:szCs w:val="18"/>
              </w:rPr>
              <w:t>w</w:t>
            </w:r>
            <w:r w:rsidRPr="007078D3">
              <w:rPr>
                <w:rStyle w:val="spelle"/>
                <w:rFonts w:ascii="Times New Roman" w:hAnsi="Times New Roman" w:cs="Times New Roman"/>
                <w:sz w:val="18"/>
                <w:szCs w:val="18"/>
                <w:vertAlign w:val="subscript"/>
              </w:rPr>
              <w:t>L</w:t>
            </w:r>
            <w:r w:rsidRPr="007078D3">
              <w:rPr>
                <w:rFonts w:ascii="Times New Roman" w:hAnsi="Times New Roman" w:cs="Times New Roman"/>
                <w:sz w:val="18"/>
                <w:szCs w:val="18"/>
              </w:rPr>
              <w:t> od 35 do 60%</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do nasypów nie wyższych niż 3 m: zabezpieczonych przed zawilgoceniem lub po ulepszeniu spoiwami</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w:t>
            </w:r>
          </w:p>
        </w:tc>
      </w:tr>
      <w:tr w:rsidR="0034055A" w:rsidRPr="007078D3" w:rsidTr="0034055A">
        <w:trPr>
          <w:trHeight w:val="1170"/>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7. Wysiewki kamienne gliniaste o zawartości frakcji iłowej ponad 2%</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gdy zwierciadło wody gruntowej znajduje się na głębokości większej od kapilarności biernej gruntu podłoża</w:t>
            </w:r>
          </w:p>
        </w:tc>
      </w:tr>
      <w:tr w:rsidR="0034055A" w:rsidRPr="007078D3" w:rsidTr="0034055A">
        <w:trPr>
          <w:trHeight w:val="1095"/>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8. Żużle wielkopiecowe i inne metalurgiczne z nowego studzenia (do 5 lat)</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o ograniczonej podatności na rozpad - łączne straty masy do 5%</w:t>
            </w:r>
          </w:p>
        </w:tc>
      </w:tr>
      <w:tr w:rsidR="0034055A" w:rsidRPr="007078D3" w:rsidTr="0034055A">
        <w:trPr>
          <w:trHeight w:val="600"/>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Tekstpodstawowy"/>
              <w:spacing w:after="0"/>
              <w:rPr>
                <w:rFonts w:ascii="Times New Roman" w:hAnsi="Times New Roman" w:cs="Times New Roman"/>
                <w:sz w:val="18"/>
                <w:szCs w:val="18"/>
              </w:rPr>
            </w:pPr>
            <w:r w:rsidRPr="007078D3">
              <w:rPr>
                <w:rFonts w:ascii="Times New Roman" w:hAnsi="Times New Roman" w:cs="Times New Roman"/>
                <w:sz w:val="18"/>
                <w:szCs w:val="18"/>
              </w:rPr>
              <w:t>9. Iłołupki przywęglowe nieprzepalone</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gdy wolne przestrzenie zostaną wypełnione materiałem drobnoziarnistym</w:t>
            </w:r>
          </w:p>
        </w:tc>
      </w:tr>
      <w:tr w:rsidR="0034055A" w:rsidRPr="007078D3" w:rsidTr="0034055A">
        <w:trPr>
          <w:trHeight w:val="930"/>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10. Popioły lotne i mieszaniny popiołowo-żużlowe</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gdy zalegają w miejscach suchych lub są izolowane od wody</w:t>
            </w:r>
          </w:p>
        </w:tc>
      </w:tr>
      <w:tr w:rsidR="0034055A" w:rsidRPr="007078D3" w:rsidTr="0034055A">
        <w:trPr>
          <w:trHeight w:val="4155"/>
        </w:trPr>
        <w:tc>
          <w:tcPr>
            <w:tcW w:w="1346" w:type="dxa"/>
            <w:vMerge w:val="restart"/>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lastRenderedPageBreak/>
              <w:t>Na górne warstwy na-</w:t>
            </w:r>
          </w:p>
          <w:p w:rsidR="0034055A" w:rsidRPr="007078D3" w:rsidRDefault="0034055A" w:rsidP="00ED04E8">
            <w:pPr>
              <w:rPr>
                <w:rFonts w:ascii="Times New Roman" w:hAnsi="Times New Roman" w:cs="Times New Roman"/>
                <w:sz w:val="18"/>
                <w:szCs w:val="18"/>
              </w:rPr>
            </w:pPr>
            <w:r w:rsidRPr="007078D3">
              <w:rPr>
                <w:rStyle w:val="spelle"/>
                <w:rFonts w:ascii="Times New Roman" w:hAnsi="Times New Roman" w:cs="Times New Roman"/>
                <w:sz w:val="18"/>
                <w:szCs w:val="18"/>
              </w:rPr>
              <w:t>sypów</w:t>
            </w:r>
            <w:r w:rsidRPr="007078D3">
              <w:rPr>
                <w:rFonts w:ascii="Times New Roman" w:hAnsi="Times New Roman" w:cs="Times New Roman"/>
                <w:sz w:val="18"/>
                <w:szCs w:val="18"/>
              </w:rPr>
              <w:t> w strefie </w:t>
            </w:r>
            <w:r w:rsidRPr="007078D3">
              <w:rPr>
                <w:rStyle w:val="spelle"/>
                <w:rFonts w:ascii="Times New Roman" w:hAnsi="Times New Roman" w:cs="Times New Roman"/>
                <w:sz w:val="18"/>
                <w:szCs w:val="18"/>
              </w:rPr>
              <w:t>przemar</w:t>
            </w:r>
            <w:r w:rsidRPr="007078D3">
              <w:rPr>
                <w:rFonts w:ascii="Times New Roman" w:hAnsi="Times New Roman" w:cs="Times New Roman"/>
                <w:sz w:val="18"/>
                <w:szCs w:val="18"/>
              </w:rPr>
              <w:t>-</w:t>
            </w:r>
          </w:p>
          <w:p w:rsidR="0034055A" w:rsidRPr="007078D3" w:rsidRDefault="0034055A" w:rsidP="00ED04E8">
            <w:pPr>
              <w:rPr>
                <w:rFonts w:ascii="Times New Roman" w:hAnsi="Times New Roman" w:cs="Times New Roman"/>
                <w:sz w:val="18"/>
                <w:szCs w:val="18"/>
              </w:rPr>
            </w:pPr>
            <w:r w:rsidRPr="007078D3">
              <w:rPr>
                <w:rStyle w:val="spelle"/>
                <w:rFonts w:ascii="Times New Roman" w:hAnsi="Times New Roman" w:cs="Times New Roman"/>
                <w:sz w:val="18"/>
                <w:szCs w:val="18"/>
              </w:rPr>
              <w:t>zania</w:t>
            </w:r>
            <w:r w:rsidRPr="007078D3">
              <w:rPr>
                <w:rFonts w:ascii="Times New Roman" w:hAnsi="Times New Roman" w:cs="Times New Roman"/>
                <w:sz w:val="18"/>
                <w:szCs w:val="18"/>
              </w:rPr>
              <w:t>**)</w:t>
            </w:r>
          </w:p>
        </w:tc>
        <w:tc>
          <w:tcPr>
            <w:tcW w:w="1985" w:type="dxa"/>
            <w:vMerge w:val="restart"/>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1. Żwiry i pospółki</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2. Piaski grubo i średnio-</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ziarniste</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3. Iłołupki przywęglowe przepalone zawierające mniej niż 15% </w:t>
            </w:r>
            <w:r w:rsidRPr="007078D3">
              <w:rPr>
                <w:rStyle w:val="spelle"/>
                <w:rFonts w:ascii="Times New Roman" w:hAnsi="Times New Roman" w:cs="Times New Roman"/>
                <w:sz w:val="18"/>
                <w:szCs w:val="18"/>
              </w:rPr>
              <w:t>ziarn</w:t>
            </w:r>
            <w:r w:rsidRPr="007078D3">
              <w:rPr>
                <w:rFonts w:ascii="Times New Roman" w:hAnsi="Times New Roman" w:cs="Times New Roman"/>
                <w:sz w:val="18"/>
                <w:szCs w:val="18"/>
              </w:rPr>
              <w:t> mniej-</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szych od 0,075 mm</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4. Wysiewki kamienne o uziarnieniu odpowiadają-</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cym pospółkom lub żwirom</w:t>
            </w: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1. Żwiry i pospółki gliniaste</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2. Piaski pylaste i gliniaste</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3. Pyły piaszczyste i pyły</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4. Gliny o granicy płynności mniejszej niż 35%</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5. Mieszaniny popiołowo-żużlowe z węgla kamiennego</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6. Wysiewki kamienne gliniaste o zawartości frakcji iłowej &gt;2%</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pod warunkiem ulepszenia tych gruntów spoiwami, takimi jak: cement, wapno, aktywne popioły itp.</w:t>
            </w:r>
          </w:p>
        </w:tc>
      </w:tr>
      <w:tr w:rsidR="0034055A" w:rsidRPr="007078D3" w:rsidTr="0034055A">
        <w:trPr>
          <w:trHeight w:val="615"/>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7. Żużle wielkopiecowe i inne metalurgiczne</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drobnoziarniste i  </w:t>
            </w:r>
            <w:r w:rsidRPr="007078D3">
              <w:rPr>
                <w:rStyle w:val="spelle"/>
                <w:rFonts w:ascii="Times New Roman" w:hAnsi="Times New Roman" w:cs="Times New Roman"/>
                <w:sz w:val="18"/>
                <w:szCs w:val="18"/>
              </w:rPr>
              <w:t>nierozpado</w:t>
            </w:r>
            <w:r w:rsidRPr="007078D3">
              <w:rPr>
                <w:rFonts w:ascii="Times New Roman" w:hAnsi="Times New Roman" w:cs="Times New Roman"/>
                <w:sz w:val="18"/>
                <w:szCs w:val="18"/>
              </w:rPr>
              <w:t>-</w:t>
            </w:r>
          </w:p>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we: straty masy do 1%</w:t>
            </w:r>
          </w:p>
        </w:tc>
      </w:tr>
      <w:tr w:rsidR="0034055A" w:rsidRPr="007078D3" w:rsidTr="0034055A">
        <w:trPr>
          <w:trHeight w:val="285"/>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8. Piaski drobnoziarniste</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o wskaźniku nośności w</w:t>
            </w:r>
            <w:r w:rsidRPr="007078D3">
              <w:rPr>
                <w:rFonts w:ascii="Times New Roman" w:hAnsi="Times New Roman" w:cs="Times New Roman"/>
                <w:sz w:val="18"/>
                <w:szCs w:val="18"/>
                <w:vertAlign w:val="subscript"/>
              </w:rPr>
              <w:t>noś</w:t>
            </w:r>
            <w:r w:rsidRPr="007078D3">
              <w:rPr>
                <w:rFonts w:ascii="Times New Roman" w:hAnsi="Times New Roman" w:cs="Times New Roman"/>
                <w:sz w:val="18"/>
                <w:szCs w:val="18"/>
              </w:rPr>
              <w:t>³10</w:t>
            </w:r>
          </w:p>
        </w:tc>
      </w:tr>
      <w:tr w:rsidR="0034055A" w:rsidRPr="007078D3" w:rsidTr="0034055A">
        <w:trPr>
          <w:trHeight w:val="873"/>
        </w:trPr>
        <w:tc>
          <w:tcPr>
            <w:tcW w:w="1346"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W wykopach i miejscach zerowych do głębokości </w:t>
            </w:r>
            <w:r w:rsidRPr="007078D3">
              <w:rPr>
                <w:rStyle w:val="spelle"/>
                <w:rFonts w:ascii="Times New Roman" w:hAnsi="Times New Roman" w:cs="Times New Roman"/>
                <w:sz w:val="18"/>
                <w:szCs w:val="18"/>
              </w:rPr>
              <w:t>przemarza-nia</w:t>
            </w:r>
          </w:p>
        </w:tc>
        <w:tc>
          <w:tcPr>
            <w:tcW w:w="198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Grunty </w:t>
            </w:r>
            <w:r w:rsidRPr="007078D3">
              <w:rPr>
                <w:rStyle w:val="spelle"/>
                <w:rFonts w:ascii="Times New Roman" w:hAnsi="Times New Roman" w:cs="Times New Roman"/>
                <w:sz w:val="18"/>
                <w:szCs w:val="18"/>
              </w:rPr>
              <w:t>niewysadzinowe</w:t>
            </w:r>
            <w:r w:rsidRPr="007078D3">
              <w:rPr>
                <w:rFonts w:ascii="Times New Roman" w:hAnsi="Times New Roman" w:cs="Times New Roman"/>
                <w:sz w:val="18"/>
                <w:szCs w:val="18"/>
              </w:rPr>
              <w:t>*)</w:t>
            </w:r>
          </w:p>
        </w:tc>
        <w:tc>
          <w:tcPr>
            <w:tcW w:w="255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Grunty wątpliwe i </w:t>
            </w:r>
            <w:r w:rsidRPr="007078D3">
              <w:rPr>
                <w:rStyle w:val="spelle"/>
                <w:rFonts w:ascii="Times New Roman" w:hAnsi="Times New Roman" w:cs="Times New Roman"/>
                <w:sz w:val="18"/>
                <w:szCs w:val="18"/>
              </w:rPr>
              <w:t>wysadzinowe</w:t>
            </w:r>
            <w:r w:rsidRPr="007078D3">
              <w:rPr>
                <w:rFonts w:ascii="Times New Roman" w:hAnsi="Times New Roman" w:cs="Times New Roman"/>
                <w:sz w:val="18"/>
                <w:szCs w:val="18"/>
              </w:rPr>
              <w:t>*)</w:t>
            </w:r>
          </w:p>
        </w:tc>
        <w:tc>
          <w:tcPr>
            <w:tcW w:w="297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 gdy są ulepszane spoiwami (cementem, wapnem, aktywnymi popiołami itp.)</w:t>
            </w:r>
          </w:p>
        </w:tc>
      </w:tr>
    </w:tbl>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Rodzaje gruntów pod względem ich </w:t>
      </w:r>
      <w:r w:rsidRPr="007078D3">
        <w:rPr>
          <w:rStyle w:val="spelle"/>
          <w:color w:val="000000"/>
          <w:sz w:val="20"/>
          <w:szCs w:val="20"/>
        </w:rPr>
        <w:t>wysadzinowości</w:t>
      </w:r>
      <w:r w:rsidRPr="007078D3">
        <w:rPr>
          <w:color w:val="000000"/>
          <w:sz w:val="20"/>
          <w:szCs w:val="20"/>
        </w:rPr>
        <w:t> podano w tabeli 2.</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Powinny to być grunty </w:t>
      </w:r>
      <w:r w:rsidRPr="007078D3">
        <w:rPr>
          <w:rStyle w:val="spelle"/>
          <w:color w:val="000000"/>
          <w:sz w:val="20"/>
          <w:szCs w:val="20"/>
        </w:rPr>
        <w:t>niewysadzinowe</w:t>
      </w:r>
      <w:r w:rsidRPr="007078D3">
        <w:rPr>
          <w:color w:val="000000"/>
          <w:sz w:val="20"/>
          <w:szCs w:val="20"/>
        </w:rPr>
        <w:t> wg tabeli 2. Obliczeniową głębokość przemarzania podłoża nawierzchni należy określić jako głębokość przemarzania Hz na danym terenie, podaną w Katalogu typowych konstrukcji nawierzchni podatnych i półsztywnych (</w:t>
      </w:r>
      <w:r w:rsidRPr="007078D3">
        <w:rPr>
          <w:rStyle w:val="spelle"/>
          <w:color w:val="000000"/>
          <w:sz w:val="20"/>
          <w:szCs w:val="20"/>
        </w:rPr>
        <w:t>KTKNPiP</w:t>
      </w:r>
      <w:r w:rsidRPr="007078D3">
        <w:rPr>
          <w:color w:val="000000"/>
          <w:sz w:val="20"/>
          <w:szCs w:val="20"/>
        </w:rPr>
        <w:t>) [22] oraz Katalogu typowych nawierzchni sztywnych (KTNS) [23], zredukowaną odpowiednio do występujących warunków gruntowo-wodnych (grupy nośności podłoża) oraz projektowej kategorii ruchu. W przypadku stosowania warstw ochronnych z materiałów o małym współczynniku przewodności cieplnej uwzględnia się zmniejszenie głębokości przemarzania Hz na podstawie obliczeń, przy czym zmniejszona wartość, wynikająca z zastosowania warstw ochronnych, powinna być równoważna głębokości przemarzania Hz podanej w </w:t>
      </w:r>
      <w:r w:rsidRPr="007078D3">
        <w:rPr>
          <w:rStyle w:val="spelle"/>
          <w:color w:val="000000"/>
          <w:sz w:val="20"/>
          <w:szCs w:val="20"/>
        </w:rPr>
        <w:t>KTKNPiP</w:t>
      </w:r>
      <w:r w:rsidRPr="007078D3">
        <w:rPr>
          <w:color w:val="000000"/>
          <w:sz w:val="20"/>
          <w:szCs w:val="20"/>
        </w:rPr>
        <w:t> [22] oraz KTNS [23].</w:t>
      </w:r>
    </w:p>
    <w:p w:rsidR="0034055A" w:rsidRPr="007078D3" w:rsidRDefault="0034055A" w:rsidP="00ED04E8">
      <w:pPr>
        <w:pStyle w:val="Legenda"/>
        <w:spacing w:before="0" w:beforeAutospacing="0" w:after="0" w:afterAutospacing="0"/>
        <w:jc w:val="both"/>
        <w:rPr>
          <w:color w:val="000000"/>
          <w:sz w:val="20"/>
          <w:szCs w:val="20"/>
        </w:rPr>
      </w:pPr>
      <w:r w:rsidRPr="007078D3">
        <w:rPr>
          <w:color w:val="000000"/>
          <w:sz w:val="20"/>
          <w:szCs w:val="20"/>
        </w:rPr>
        <w:t> </w:t>
      </w:r>
      <w:bookmarkStart w:id="90" w:name="_Toc24581325"/>
      <w:r w:rsidRPr="007078D3">
        <w:rPr>
          <w:color w:val="000000"/>
          <w:sz w:val="20"/>
          <w:szCs w:val="20"/>
        </w:rPr>
        <w:t>Tabela </w:t>
      </w:r>
      <w:bookmarkEnd w:id="90"/>
      <w:r w:rsidRPr="007078D3">
        <w:rPr>
          <w:color w:val="000000"/>
          <w:sz w:val="20"/>
          <w:szCs w:val="20"/>
        </w:rPr>
        <w:t>2. Podział gruntów pod względem </w:t>
      </w:r>
      <w:r w:rsidRPr="007078D3">
        <w:rPr>
          <w:rStyle w:val="spelle"/>
          <w:color w:val="000000"/>
          <w:sz w:val="20"/>
          <w:szCs w:val="20"/>
        </w:rPr>
        <w:t>wysadzinowości</w:t>
      </w:r>
      <w:r w:rsidRPr="007078D3">
        <w:rPr>
          <w:color w:val="000000"/>
          <w:sz w:val="20"/>
          <w:szCs w:val="20"/>
        </w:rPr>
        <w:t> wg PN-S-02205 [6]</w:t>
      </w:r>
    </w:p>
    <w:tbl>
      <w:tblPr>
        <w:tblW w:w="9190" w:type="dxa"/>
        <w:shd w:val="clear" w:color="auto" w:fill="EAEAEA"/>
        <w:tblCellMar>
          <w:left w:w="0" w:type="dxa"/>
          <w:right w:w="0" w:type="dxa"/>
        </w:tblCellMar>
        <w:tblLook w:val="04A0"/>
      </w:tblPr>
      <w:tblGrid>
        <w:gridCol w:w="496"/>
        <w:gridCol w:w="2094"/>
        <w:gridCol w:w="840"/>
        <w:gridCol w:w="1825"/>
        <w:gridCol w:w="1920"/>
        <w:gridCol w:w="2040"/>
      </w:tblGrid>
      <w:tr w:rsidR="0034055A" w:rsidRPr="007078D3" w:rsidTr="0034055A">
        <w:tc>
          <w:tcPr>
            <w:tcW w:w="496" w:type="dxa"/>
            <w:vMerge w:val="restart"/>
            <w:tcBorders>
              <w:top w:val="single" w:sz="8" w:space="0" w:color="auto"/>
              <w:left w:val="single" w:sz="8" w:space="0" w:color="auto"/>
              <w:bottom w:val="single" w:sz="8" w:space="0" w:color="auto"/>
              <w:right w:val="nil"/>
            </w:tcBorders>
            <w:shd w:val="clear" w:color="auto" w:fill="EAEAEA"/>
            <w:noWrap/>
            <w:tcMar>
              <w:top w:w="0" w:type="dxa"/>
              <w:left w:w="70" w:type="dxa"/>
              <w:bottom w:w="0" w:type="dxa"/>
              <w:right w:w="70"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Lp.</w:t>
            </w:r>
          </w:p>
        </w:tc>
        <w:tc>
          <w:tcPr>
            <w:tcW w:w="2094" w:type="dxa"/>
            <w:vMerge w:val="restart"/>
            <w:tcBorders>
              <w:top w:val="single" w:sz="8" w:space="0" w:color="auto"/>
              <w:left w:val="single" w:sz="8" w:space="0" w:color="auto"/>
              <w:bottom w:val="single" w:sz="8" w:space="0" w:color="auto"/>
              <w:right w:val="nil"/>
            </w:tcBorders>
            <w:shd w:val="clear" w:color="auto" w:fill="EAEAEA"/>
            <w:noWrap/>
            <w:tcMar>
              <w:top w:w="0" w:type="dxa"/>
              <w:left w:w="70" w:type="dxa"/>
              <w:bottom w:w="0" w:type="dxa"/>
              <w:right w:w="70"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Wyszczególnienie</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właściwości</w:t>
            </w:r>
          </w:p>
        </w:tc>
        <w:tc>
          <w:tcPr>
            <w:tcW w:w="840" w:type="dxa"/>
            <w:vMerge w:val="restart"/>
            <w:tcBorders>
              <w:top w:val="single" w:sz="8" w:space="0" w:color="auto"/>
              <w:left w:val="nil"/>
              <w:bottom w:val="single" w:sz="8" w:space="0" w:color="auto"/>
              <w:right w:val="nil"/>
            </w:tcBorders>
            <w:shd w:val="clear" w:color="auto" w:fill="EAEAEA"/>
            <w:noWrap/>
            <w:tcMar>
              <w:top w:w="0" w:type="dxa"/>
              <w:left w:w="70" w:type="dxa"/>
              <w:bottom w:w="0" w:type="dxa"/>
              <w:right w:w="70"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rStyle w:val="spelle"/>
                <w:sz w:val="18"/>
                <w:szCs w:val="18"/>
              </w:rPr>
              <w:t>Jed</w:t>
            </w:r>
            <w:r w:rsidRPr="007078D3">
              <w:rPr>
                <w:sz w:val="18"/>
                <w:szCs w:val="18"/>
              </w:rPr>
              <w:t>-</w:t>
            </w:r>
          </w:p>
          <w:p w:rsidR="0034055A" w:rsidRPr="007078D3" w:rsidRDefault="0034055A" w:rsidP="00ED04E8">
            <w:pPr>
              <w:pStyle w:val="standardowytekst"/>
              <w:spacing w:before="0" w:beforeAutospacing="0" w:after="0" w:afterAutospacing="0"/>
              <w:jc w:val="center"/>
              <w:rPr>
                <w:sz w:val="18"/>
                <w:szCs w:val="18"/>
              </w:rPr>
            </w:pPr>
            <w:r w:rsidRPr="007078D3">
              <w:rPr>
                <w:rStyle w:val="spelle"/>
                <w:sz w:val="18"/>
                <w:szCs w:val="18"/>
              </w:rPr>
              <w:t>nostki</w:t>
            </w:r>
          </w:p>
        </w:tc>
        <w:tc>
          <w:tcPr>
            <w:tcW w:w="5760" w:type="dxa"/>
            <w:gridSpan w:val="3"/>
            <w:tcBorders>
              <w:top w:val="single" w:sz="8" w:space="0" w:color="auto"/>
              <w:left w:val="single" w:sz="8" w:space="0" w:color="auto"/>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Grupy gruntów</w:t>
            </w:r>
          </w:p>
        </w:tc>
      </w:tr>
      <w:tr w:rsidR="0034055A" w:rsidRPr="007078D3" w:rsidTr="0034055A">
        <w:tc>
          <w:tcPr>
            <w:tcW w:w="0" w:type="auto"/>
            <w:vMerge/>
            <w:tcBorders>
              <w:top w:val="single" w:sz="8" w:space="0" w:color="auto"/>
              <w:left w:val="single" w:sz="8" w:space="0" w:color="auto"/>
              <w:bottom w:val="single" w:sz="8" w:space="0" w:color="auto"/>
              <w:right w:val="nil"/>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single" w:sz="8" w:space="0" w:color="auto"/>
              <w:left w:val="single" w:sz="8" w:space="0" w:color="auto"/>
              <w:bottom w:val="single" w:sz="8" w:space="0" w:color="auto"/>
              <w:right w:val="nil"/>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single" w:sz="8" w:space="0" w:color="auto"/>
              <w:left w:val="nil"/>
              <w:bottom w:val="single" w:sz="8" w:space="0" w:color="auto"/>
              <w:right w:val="nil"/>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1800"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rStyle w:val="spelle"/>
                <w:sz w:val="18"/>
                <w:szCs w:val="18"/>
              </w:rPr>
              <w:t>niewysadzinowe</w:t>
            </w:r>
          </w:p>
        </w:tc>
        <w:tc>
          <w:tcPr>
            <w:tcW w:w="192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wątpliwe</w:t>
            </w:r>
          </w:p>
        </w:tc>
        <w:tc>
          <w:tcPr>
            <w:tcW w:w="204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rStyle w:val="spelle"/>
                <w:sz w:val="18"/>
                <w:szCs w:val="18"/>
              </w:rPr>
              <w:t>wysadzinowe</w:t>
            </w:r>
          </w:p>
        </w:tc>
      </w:tr>
      <w:tr w:rsidR="0034055A" w:rsidRPr="007078D3" w:rsidTr="0034055A">
        <w:tc>
          <w:tcPr>
            <w:tcW w:w="496"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1</w:t>
            </w:r>
          </w:p>
        </w:tc>
        <w:tc>
          <w:tcPr>
            <w:tcW w:w="20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Zawartość cząstek badana wg PN-EN ISO 17892-4 [10] dla gruntów i wg PN-EN 933-1 [13] dla mieszanek kruszyw</w:t>
            </w:r>
          </w:p>
          <w:p w:rsidR="0034055A" w:rsidRPr="007078D3" w:rsidRDefault="0034055A" w:rsidP="00ED04E8">
            <w:pPr>
              <w:pStyle w:val="standardowytekst"/>
              <w:spacing w:before="0" w:beforeAutospacing="0" w:after="0" w:afterAutospacing="0"/>
              <w:rPr>
                <w:sz w:val="18"/>
                <w:szCs w:val="18"/>
              </w:rPr>
            </w:pPr>
            <w:r w:rsidRPr="007078D3">
              <w:rPr>
                <w:sz w:val="18"/>
                <w:szCs w:val="18"/>
              </w:rPr>
              <w:t>£ 0,075 mm</w:t>
            </w:r>
          </w:p>
          <w:p w:rsidR="0034055A" w:rsidRPr="007078D3" w:rsidRDefault="0034055A" w:rsidP="00ED04E8">
            <w:pPr>
              <w:pStyle w:val="standardowytekst"/>
              <w:spacing w:before="0" w:beforeAutospacing="0" w:after="0" w:afterAutospacing="0"/>
              <w:rPr>
                <w:sz w:val="18"/>
                <w:szCs w:val="18"/>
              </w:rPr>
            </w:pPr>
            <w:r w:rsidRPr="007078D3">
              <w:rPr>
                <w:sz w:val="18"/>
                <w:szCs w:val="18"/>
              </w:rPr>
              <w:t>£ 0,02   mm</w:t>
            </w:r>
          </w:p>
        </w:tc>
        <w:tc>
          <w:tcPr>
            <w:tcW w:w="84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w:t>
            </w:r>
          </w:p>
        </w:tc>
        <w:tc>
          <w:tcPr>
            <w:tcW w:w="180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&lt; 15</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&lt; 3</w:t>
            </w:r>
          </w:p>
        </w:tc>
        <w:tc>
          <w:tcPr>
            <w:tcW w:w="192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od 15 do 30</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od 3 do 10</w:t>
            </w:r>
          </w:p>
        </w:tc>
        <w:tc>
          <w:tcPr>
            <w:tcW w:w="204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&gt; 30</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&gt; 10</w:t>
            </w:r>
          </w:p>
        </w:tc>
      </w:tr>
      <w:tr w:rsidR="0034055A" w:rsidRPr="007078D3" w:rsidTr="0034055A">
        <w:tc>
          <w:tcPr>
            <w:tcW w:w="496"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2</w:t>
            </w:r>
          </w:p>
        </w:tc>
        <w:tc>
          <w:tcPr>
            <w:tcW w:w="20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Wskaźnik piaskowy WP wg BN-64/8931-01 [9] dla gruntów i wg PN-EN 933-8 [14] dla mieszanek kruszyw</w:t>
            </w:r>
          </w:p>
        </w:tc>
        <w:tc>
          <w:tcPr>
            <w:tcW w:w="84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tc>
        <w:tc>
          <w:tcPr>
            <w:tcW w:w="180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&gt; 35</w:t>
            </w:r>
          </w:p>
        </w:tc>
        <w:tc>
          <w:tcPr>
            <w:tcW w:w="192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od 25 do 35</w:t>
            </w:r>
          </w:p>
        </w:tc>
        <w:tc>
          <w:tcPr>
            <w:tcW w:w="204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&lt; 25</w:t>
            </w:r>
          </w:p>
        </w:tc>
      </w:tr>
      <w:tr w:rsidR="0034055A" w:rsidRPr="007078D3" w:rsidTr="0034055A">
        <w:tc>
          <w:tcPr>
            <w:tcW w:w="496"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tc>
        <w:tc>
          <w:tcPr>
            <w:tcW w:w="20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Informacja pomocnicza: rodzaj gruntu wg PN-88/B-04481[7]</w:t>
            </w:r>
          </w:p>
        </w:tc>
        <w:tc>
          <w:tcPr>
            <w:tcW w:w="84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w:t>
            </w:r>
          </w:p>
        </w:tc>
        <w:tc>
          <w:tcPr>
            <w:tcW w:w="180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rumosz </w:t>
            </w:r>
            <w:r w:rsidRPr="007078D3">
              <w:rPr>
                <w:rStyle w:val="spelle"/>
                <w:sz w:val="18"/>
                <w:szCs w:val="18"/>
              </w:rPr>
              <w:t>niegliniasty</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żwir</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pospółka</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piasek gruby</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piasek średni</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piasek drobny</w:t>
            </w:r>
          </w:p>
          <w:p w:rsidR="0034055A" w:rsidRPr="007078D3" w:rsidRDefault="0034055A" w:rsidP="00ED04E8">
            <w:pPr>
              <w:pStyle w:val="standardowytekst"/>
              <w:spacing w:before="0" w:beforeAutospacing="0" w:after="0" w:afterAutospacing="0"/>
              <w:ind w:left="283"/>
              <w:rPr>
                <w:sz w:val="18"/>
                <w:szCs w:val="18"/>
              </w:rPr>
            </w:pPr>
            <w:r w:rsidRPr="007078D3">
              <w:rPr>
                <w:sz w:val="18"/>
                <w:szCs w:val="18"/>
              </w:rPr>
              <w:t> </w:t>
            </w:r>
          </w:p>
        </w:tc>
        <w:tc>
          <w:tcPr>
            <w:tcW w:w="192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piasek pylasty</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zwietrzelina gliniasta</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rumosz gliniasty</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żwir gliniasty</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pospółka gliniasta</w:t>
            </w:r>
          </w:p>
        </w:tc>
        <w:tc>
          <w:tcPr>
            <w:tcW w:w="204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18"/>
                <w:szCs w:val="18"/>
              </w:rPr>
            </w:pPr>
            <w:r w:rsidRPr="007078D3">
              <w:rPr>
                <w:b/>
                <w:bCs/>
                <w:sz w:val="18"/>
                <w:szCs w:val="18"/>
              </w:rPr>
              <w:t>mało </w:t>
            </w:r>
            <w:r w:rsidRPr="007078D3">
              <w:rPr>
                <w:rStyle w:val="spelle"/>
                <w:b/>
                <w:bCs/>
                <w:sz w:val="18"/>
                <w:szCs w:val="18"/>
              </w:rPr>
              <w:t>wysadzinowe</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glina </w:t>
            </w:r>
            <w:r w:rsidRPr="007078D3">
              <w:rPr>
                <w:rStyle w:val="spelle"/>
                <w:sz w:val="18"/>
                <w:szCs w:val="18"/>
              </w:rPr>
              <w:t>piasz</w:t>
            </w:r>
            <w:r w:rsidRPr="007078D3">
              <w:rPr>
                <w:sz w:val="18"/>
                <w:szCs w:val="18"/>
              </w:rPr>
              <w:t>-    czysta zwięzła, glina zwięzła, glina pylasta zwięzła</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ił, ił </w:t>
            </w:r>
            <w:r w:rsidRPr="007078D3">
              <w:rPr>
                <w:rStyle w:val="spelle"/>
                <w:sz w:val="18"/>
                <w:szCs w:val="18"/>
              </w:rPr>
              <w:t>piaszczys-ty</w:t>
            </w:r>
            <w:r w:rsidRPr="007078D3">
              <w:rPr>
                <w:sz w:val="18"/>
                <w:szCs w:val="18"/>
              </w:rPr>
              <w:t>, ił pylasty</w:t>
            </w:r>
          </w:p>
          <w:p w:rsidR="0034055A" w:rsidRPr="007078D3" w:rsidRDefault="0034055A" w:rsidP="00ED04E8">
            <w:pPr>
              <w:pStyle w:val="standardowytekst"/>
              <w:spacing w:before="0" w:beforeAutospacing="0" w:after="0" w:afterAutospacing="0"/>
              <w:rPr>
                <w:sz w:val="18"/>
                <w:szCs w:val="18"/>
              </w:rPr>
            </w:pPr>
            <w:r w:rsidRPr="007078D3">
              <w:rPr>
                <w:b/>
                <w:bCs/>
                <w:sz w:val="18"/>
                <w:szCs w:val="18"/>
              </w:rPr>
              <w:t>bardzo </w:t>
            </w:r>
            <w:r w:rsidRPr="007078D3">
              <w:rPr>
                <w:rStyle w:val="spelle"/>
                <w:b/>
                <w:bCs/>
                <w:sz w:val="18"/>
                <w:szCs w:val="18"/>
              </w:rPr>
              <w:t>wysadzinowe</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piasek gliniasty</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pył, pył </w:t>
            </w:r>
            <w:r w:rsidRPr="007078D3">
              <w:rPr>
                <w:rStyle w:val="spelle"/>
                <w:sz w:val="18"/>
                <w:szCs w:val="18"/>
              </w:rPr>
              <w:t>piasz-czysty</w:t>
            </w:r>
          </w:p>
          <w:p w:rsidR="0034055A" w:rsidRPr="007078D3" w:rsidRDefault="0034055A" w:rsidP="00ED04E8">
            <w:pPr>
              <w:pStyle w:val="standardowytekst"/>
              <w:spacing w:before="0" w:beforeAutospacing="0" w:after="0" w:afterAutospacing="0"/>
              <w:ind w:left="283" w:hanging="283"/>
              <w:rPr>
                <w:sz w:val="18"/>
                <w:szCs w:val="18"/>
              </w:rPr>
            </w:pPr>
            <w:r w:rsidRPr="007078D3">
              <w:rPr>
                <w:sz w:val="18"/>
                <w:szCs w:val="18"/>
              </w:rPr>
              <w:t>-      glina </w:t>
            </w:r>
            <w:r w:rsidRPr="007078D3">
              <w:rPr>
                <w:rStyle w:val="spelle"/>
                <w:sz w:val="18"/>
                <w:szCs w:val="18"/>
              </w:rPr>
              <w:t>piasz-czysta</w:t>
            </w:r>
            <w:r w:rsidRPr="007078D3">
              <w:rPr>
                <w:sz w:val="18"/>
                <w:szCs w:val="18"/>
              </w:rPr>
              <w:t xml:space="preserve">, glina, glina pylasta, ił </w:t>
            </w:r>
            <w:r w:rsidRPr="007078D3">
              <w:rPr>
                <w:sz w:val="18"/>
                <w:szCs w:val="18"/>
              </w:rPr>
              <w:lastRenderedPageBreak/>
              <w:t>warwowy</w:t>
            </w:r>
          </w:p>
        </w:tc>
      </w:tr>
    </w:tbl>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lastRenderedPageBreak/>
        <w:t>2.3. </w:t>
      </w:r>
      <w:r w:rsidRPr="007078D3">
        <w:rPr>
          <w:rStyle w:val="spelle"/>
          <w:rFonts w:ascii="Times New Roman" w:hAnsi="Times New Roman"/>
          <w:color w:val="000000"/>
          <w:szCs w:val="20"/>
        </w:rPr>
        <w:t>Geosyntetyk</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Geosyntetyk</w:t>
      </w:r>
      <w:r w:rsidRPr="007078D3">
        <w:rPr>
          <w:rFonts w:ascii="Times New Roman" w:hAnsi="Times New Roman" w:cs="Times New Roman"/>
          <w:color w:val="000000"/>
          <w:szCs w:val="20"/>
        </w:rPr>
        <w:t> powinien być materiałem odpornym na działanie wilgoci, środowiska agresywnego chemicznie i biologicznie oraz temperatury. Powinien być to materiał bez rozdarć, dziur i przerw ciągłości z dobrą przyczepnością do gruntu. Właściwości stosowanych </w:t>
      </w:r>
      <w:r w:rsidRPr="007078D3">
        <w:rPr>
          <w:rStyle w:val="spelle"/>
          <w:rFonts w:ascii="Times New Roman" w:hAnsi="Times New Roman" w:cs="Times New Roman"/>
          <w:color w:val="000000"/>
          <w:szCs w:val="20"/>
        </w:rPr>
        <w:t>geosyntetyków</w:t>
      </w:r>
      <w:r w:rsidRPr="007078D3">
        <w:rPr>
          <w:rFonts w:ascii="Times New Roman" w:hAnsi="Times New Roman" w:cs="Times New Roman"/>
          <w:color w:val="000000"/>
          <w:szCs w:val="20"/>
        </w:rPr>
        <w:t> powinny być zgodne z PN-EN-13251 [8] i dokumentacją projektową. </w:t>
      </w:r>
      <w:r w:rsidRPr="007078D3">
        <w:rPr>
          <w:rStyle w:val="spelle"/>
          <w:rFonts w:ascii="Times New Roman" w:hAnsi="Times New Roman" w:cs="Times New Roman"/>
          <w:color w:val="000000"/>
          <w:szCs w:val="20"/>
        </w:rPr>
        <w:t>Geosyntetyk</w:t>
      </w:r>
      <w:r w:rsidRPr="007078D3">
        <w:rPr>
          <w:rFonts w:ascii="Times New Roman" w:hAnsi="Times New Roman" w:cs="Times New Roman"/>
          <w:color w:val="000000"/>
          <w:szCs w:val="20"/>
        </w:rPr>
        <w:t> powinien posiadać aprobatę techniczna wydaną przez uprawnioną jednostkę.</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91" w:name="_Toc17408013"/>
      <w:bookmarkStart w:id="92" w:name="_Toc17407894"/>
      <w:bookmarkStart w:id="93" w:name="_Toc17407770"/>
      <w:bookmarkStart w:id="94" w:name="_Toc17407535"/>
      <w:bookmarkStart w:id="95" w:name="_3._Sprzęt"/>
      <w:bookmarkEnd w:id="91"/>
      <w:bookmarkEnd w:id="92"/>
      <w:bookmarkEnd w:id="93"/>
      <w:bookmarkEnd w:id="94"/>
      <w:bookmarkEnd w:id="95"/>
      <w:r w:rsidRPr="007078D3">
        <w:rPr>
          <w:rFonts w:ascii="Times New Roman" w:hAnsi="Times New Roman"/>
          <w:caps/>
          <w:color w:val="000000"/>
          <w:szCs w:val="20"/>
        </w:rPr>
        <w:t>3. SPRZĘT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3.1. Ogólne wymagania dotyczące sprzętu</w:t>
      </w:r>
    </w:p>
    <w:p w:rsidR="0034055A" w:rsidRPr="007078D3" w:rsidRDefault="0034055A" w:rsidP="00ED04E8">
      <w:pPr>
        <w:pStyle w:val="styliwony"/>
        <w:spacing w:before="0" w:beforeAutospacing="0" w:after="0" w:afterAutospacing="0"/>
        <w:jc w:val="both"/>
        <w:rPr>
          <w:color w:val="000000"/>
          <w:sz w:val="20"/>
          <w:szCs w:val="20"/>
        </w:rPr>
      </w:pPr>
      <w:r w:rsidRPr="007078D3">
        <w:rPr>
          <w:color w:val="000000"/>
          <w:sz w:val="20"/>
          <w:szCs w:val="20"/>
        </w:rPr>
        <w:t xml:space="preserve">                Ogólne wymagania dotyczące sprzętu podano w </w:t>
      </w:r>
      <w:r w:rsidR="00985629">
        <w:rPr>
          <w:color w:val="000000"/>
          <w:sz w:val="20"/>
          <w:szCs w:val="20"/>
        </w:rPr>
        <w:t>SST</w:t>
      </w:r>
      <w:r w:rsidRPr="007078D3">
        <w:rPr>
          <w:color w:val="000000"/>
          <w:sz w:val="20"/>
          <w:szCs w:val="20"/>
        </w:rPr>
        <w:t xml:space="preserve"> D-M-00.00.00 „Wymagania ogólne” </w:t>
      </w:r>
      <w:r w:rsidRPr="007078D3">
        <w:rPr>
          <w:rStyle w:val="spelle"/>
          <w:color w:val="000000"/>
          <w:sz w:val="20"/>
          <w:szCs w:val="20"/>
        </w:rPr>
        <w:t>pkt</w:t>
      </w:r>
      <w:r w:rsidRPr="007078D3">
        <w:rPr>
          <w:color w:val="000000"/>
          <w:sz w:val="20"/>
          <w:szCs w:val="20"/>
        </w:rPr>
        <w:t> 3.</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Sprzęt wykorzystywany przez Wykonawcę do prowadzenia robót ziemnych powinien być sprawny, posiadać aktualne wszelkie przeglądy oraz dokumenty wymagane do dopuszczenia do użytkowania i powinien być zatwierdzony przez Inżyniera.</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96" w:name="_Toc407161190"/>
      <w:r w:rsidRPr="007078D3">
        <w:rPr>
          <w:rFonts w:ascii="Times New Roman" w:hAnsi="Times New Roman"/>
          <w:color w:val="000000"/>
          <w:szCs w:val="20"/>
        </w:rPr>
        <w:t>3.2. Sprzęt do robót ziemnych</w:t>
      </w:r>
      <w:bookmarkEnd w:id="96"/>
      <w:r w:rsidRPr="007078D3">
        <w:rPr>
          <w:rFonts w:ascii="Times New Roman" w:hAnsi="Times New Roman"/>
          <w:color w:val="000000"/>
          <w:szCs w:val="20"/>
        </w:rPr>
        <w:t> w gruntach </w:t>
      </w:r>
      <w:r w:rsidRPr="007078D3">
        <w:rPr>
          <w:rStyle w:val="spelle"/>
          <w:rFonts w:ascii="Times New Roman" w:hAnsi="Times New Roman"/>
          <w:color w:val="000000"/>
          <w:szCs w:val="20"/>
        </w:rPr>
        <w:t>nieskalistych</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Wykonawca przystępujący do wykonania robót ziemnych powinien wykazać się możliwością korzystania z następującego sprzętu do:</w:t>
      </w:r>
    </w:p>
    <w:p w:rsidR="0034055A" w:rsidRPr="007078D3" w:rsidRDefault="0034055A" w:rsidP="00ED04E8">
      <w:pPr>
        <w:pStyle w:val="standardowytekst"/>
        <w:spacing w:before="0" w:beforeAutospacing="0" w:after="0" w:afterAutospacing="0"/>
        <w:ind w:left="283" w:hanging="283"/>
        <w:rPr>
          <w:color w:val="000000"/>
          <w:sz w:val="20"/>
          <w:szCs w:val="20"/>
        </w:rPr>
      </w:pPr>
      <w:r w:rsidRPr="007078D3">
        <w:rPr>
          <w:color w:val="000000"/>
          <w:sz w:val="20"/>
          <w:szCs w:val="20"/>
        </w:rPr>
        <w:t>-      odspajania i wydobywania gruntów (narzędzia mechaniczne, młoty pneumatyczne, zrywarki, koparki, ładowarki, wiertarki mechaniczne itp.),</w:t>
      </w:r>
    </w:p>
    <w:p w:rsidR="0034055A" w:rsidRPr="007078D3" w:rsidRDefault="0034055A" w:rsidP="00ED04E8">
      <w:pPr>
        <w:pStyle w:val="standardowytekst"/>
        <w:spacing w:before="0" w:beforeAutospacing="0" w:after="0" w:afterAutospacing="0"/>
        <w:ind w:left="283" w:hanging="283"/>
        <w:rPr>
          <w:color w:val="000000"/>
          <w:sz w:val="20"/>
          <w:szCs w:val="20"/>
        </w:rPr>
      </w:pPr>
      <w:r w:rsidRPr="007078D3">
        <w:rPr>
          <w:color w:val="000000"/>
          <w:sz w:val="20"/>
          <w:szCs w:val="20"/>
        </w:rPr>
        <w:t>-      jednoczesnego wydobywania i przemieszczania gruntów (spycharki, zgarniarki, równiarki, urządzenia do hydromechanizacji itp.),</w:t>
      </w:r>
    </w:p>
    <w:p w:rsidR="0034055A" w:rsidRPr="007078D3" w:rsidRDefault="0034055A" w:rsidP="00ED04E8">
      <w:pPr>
        <w:pStyle w:val="standardowytekst"/>
        <w:spacing w:before="0" w:beforeAutospacing="0" w:after="0" w:afterAutospacing="0"/>
        <w:ind w:left="283" w:hanging="283"/>
        <w:rPr>
          <w:color w:val="000000"/>
          <w:sz w:val="20"/>
          <w:szCs w:val="20"/>
        </w:rPr>
      </w:pPr>
      <w:r w:rsidRPr="007078D3">
        <w:rPr>
          <w:color w:val="000000"/>
          <w:sz w:val="20"/>
          <w:szCs w:val="20"/>
        </w:rPr>
        <w:t>-      transportu mas ziemnych (samochody wywrotki, samochody skrzyniowe, taśmociągi itp.),</w:t>
      </w:r>
    </w:p>
    <w:p w:rsidR="0034055A" w:rsidRPr="007078D3" w:rsidRDefault="0034055A" w:rsidP="00ED04E8">
      <w:pPr>
        <w:pStyle w:val="standardowytekst"/>
        <w:spacing w:before="0" w:beforeAutospacing="0" w:after="0" w:afterAutospacing="0"/>
        <w:ind w:left="283" w:hanging="283"/>
        <w:rPr>
          <w:color w:val="000000"/>
          <w:sz w:val="20"/>
          <w:szCs w:val="20"/>
        </w:rPr>
      </w:pPr>
      <w:r w:rsidRPr="007078D3">
        <w:rPr>
          <w:color w:val="000000"/>
          <w:sz w:val="20"/>
          <w:szCs w:val="20"/>
        </w:rPr>
        <w:t>-      sprzętu zagęszczającego (walce, ubijaki, płyty wibracyjne itp.). Dobór sprzętu zagęszczającego powinien być uzależniony od rodzaju zagęszczanego gruntu oraz zakresu prac. W tabeli 3 podano, dla różnych rodzajów gruntów, orientacyjne dane przy doborze podstawowego sprzętu zagęszczającego.</w:t>
      </w:r>
    </w:p>
    <w:p w:rsidR="0034055A" w:rsidRPr="007078D3" w:rsidRDefault="0034055A" w:rsidP="00ED04E8">
      <w:pPr>
        <w:pStyle w:val="Legenda"/>
        <w:spacing w:before="0" w:beforeAutospacing="0" w:after="0" w:afterAutospacing="0"/>
        <w:jc w:val="both"/>
        <w:rPr>
          <w:color w:val="000000"/>
          <w:sz w:val="20"/>
          <w:szCs w:val="20"/>
        </w:rPr>
      </w:pPr>
      <w:bookmarkStart w:id="97" w:name="_Toc24581326"/>
      <w:r w:rsidRPr="007078D3">
        <w:rPr>
          <w:color w:val="000000"/>
          <w:sz w:val="20"/>
          <w:szCs w:val="20"/>
        </w:rPr>
        <w:t>Tabela </w:t>
      </w:r>
      <w:bookmarkEnd w:id="97"/>
      <w:r w:rsidRPr="007078D3">
        <w:rPr>
          <w:color w:val="000000"/>
          <w:sz w:val="20"/>
          <w:szCs w:val="20"/>
        </w:rPr>
        <w:t>3. Orientacyjne dane przy doborze sprzętu zagęszczającego</w:t>
      </w:r>
    </w:p>
    <w:tbl>
      <w:tblPr>
        <w:tblW w:w="0" w:type="auto"/>
        <w:tblInd w:w="227" w:type="dxa"/>
        <w:shd w:val="clear" w:color="auto" w:fill="EAEAEA"/>
        <w:tblCellMar>
          <w:left w:w="0" w:type="dxa"/>
          <w:right w:w="0" w:type="dxa"/>
        </w:tblCellMar>
        <w:tblLook w:val="04A0"/>
      </w:tblPr>
      <w:tblGrid>
        <w:gridCol w:w="2081"/>
        <w:gridCol w:w="1220"/>
        <w:gridCol w:w="992"/>
        <w:gridCol w:w="1134"/>
        <w:gridCol w:w="992"/>
        <w:gridCol w:w="2658"/>
      </w:tblGrid>
      <w:tr w:rsidR="0034055A" w:rsidRPr="007078D3" w:rsidTr="0034055A">
        <w:tc>
          <w:tcPr>
            <w:tcW w:w="1780" w:type="dxa"/>
            <w:vMerge w:val="restart"/>
            <w:tcBorders>
              <w:top w:val="single" w:sz="8" w:space="0" w:color="auto"/>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Rodzaje urządzeń zagęszczających</w:t>
            </w:r>
          </w:p>
        </w:tc>
        <w:tc>
          <w:tcPr>
            <w:tcW w:w="4338" w:type="dxa"/>
            <w:gridSpan w:val="4"/>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Rodzaje gruntu</w:t>
            </w:r>
          </w:p>
        </w:tc>
        <w:tc>
          <w:tcPr>
            <w:tcW w:w="2658" w:type="dxa"/>
            <w:vMerge w:val="restart"/>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Uwagi o przydatności maszyn</w:t>
            </w:r>
          </w:p>
        </w:tc>
      </w:tr>
      <w:tr w:rsidR="0034055A" w:rsidRPr="007078D3" w:rsidTr="0034055A">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212" w:type="dxa"/>
            <w:gridSpan w:val="2"/>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piaski, żwiry, pospółki</w:t>
            </w:r>
          </w:p>
        </w:tc>
        <w:tc>
          <w:tcPr>
            <w:tcW w:w="2126" w:type="dxa"/>
            <w:gridSpan w:val="2"/>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pyły gliny, iły</w:t>
            </w: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r>
      <w:tr w:rsidR="0034055A" w:rsidRPr="007078D3" w:rsidTr="0034055A">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122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grubość warstwy [m]</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liczba przejść n***</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grubość warstwy [m]</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liczba przejść n***</w:t>
            </w: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r>
      <w:tr w:rsidR="0034055A" w:rsidRPr="007078D3" w:rsidTr="0034055A">
        <w:tc>
          <w:tcPr>
            <w:tcW w:w="178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Walce statyczne gładkie *</w:t>
            </w:r>
          </w:p>
        </w:tc>
        <w:tc>
          <w:tcPr>
            <w:tcW w:w="122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0,1 do 0,2</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4 do 8</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0,1 do 0,2</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4 do 8</w:t>
            </w:r>
          </w:p>
        </w:tc>
        <w:tc>
          <w:tcPr>
            <w:tcW w:w="2658"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Do zagęszczania górnych warstw podłoża. Zalecane do codziennego wygładzania (przywałowania) gruntów spoistych w miejscu pobrania i w nasypie</w:t>
            </w:r>
          </w:p>
        </w:tc>
      </w:tr>
      <w:tr w:rsidR="0034055A" w:rsidRPr="007078D3" w:rsidTr="0034055A">
        <w:tc>
          <w:tcPr>
            <w:tcW w:w="178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Walce statyczne okołkowane*</w:t>
            </w:r>
          </w:p>
        </w:tc>
        <w:tc>
          <w:tcPr>
            <w:tcW w:w="122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0,2 do 0,3</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8 do 12</w:t>
            </w:r>
          </w:p>
        </w:tc>
        <w:tc>
          <w:tcPr>
            <w:tcW w:w="2658"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Nie nadają się do gruntów nawodnionych</w:t>
            </w:r>
          </w:p>
        </w:tc>
      </w:tr>
      <w:tr w:rsidR="0034055A" w:rsidRPr="007078D3" w:rsidTr="0034055A">
        <w:tc>
          <w:tcPr>
            <w:tcW w:w="178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Walce statyczne ogumione *</w:t>
            </w:r>
          </w:p>
        </w:tc>
        <w:tc>
          <w:tcPr>
            <w:tcW w:w="122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0,2 do 0,5</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6 do 8</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0,2 do 0,4</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6 do 10</w:t>
            </w:r>
          </w:p>
        </w:tc>
        <w:tc>
          <w:tcPr>
            <w:tcW w:w="2658"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Mało przydatne w gruntach spoistych</w:t>
            </w:r>
          </w:p>
        </w:tc>
      </w:tr>
      <w:tr w:rsidR="0034055A" w:rsidRPr="007078D3" w:rsidTr="0034055A">
        <w:tc>
          <w:tcPr>
            <w:tcW w:w="178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Walce wibracyjne gładkie **</w:t>
            </w:r>
          </w:p>
        </w:tc>
        <w:tc>
          <w:tcPr>
            <w:tcW w:w="122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0,4 do 0,7</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4 do 8</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0,2 do 0,4</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3 do 4</w:t>
            </w:r>
          </w:p>
        </w:tc>
        <w:tc>
          <w:tcPr>
            <w:tcW w:w="2658"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Do gruntów spoistych przydatne są walce średnie i ciężkie.</w:t>
            </w:r>
          </w:p>
        </w:tc>
      </w:tr>
      <w:tr w:rsidR="0034055A" w:rsidRPr="007078D3" w:rsidTr="0034055A">
        <w:tc>
          <w:tcPr>
            <w:tcW w:w="178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Walce wibracyjne okołkowane **</w:t>
            </w:r>
          </w:p>
        </w:tc>
        <w:tc>
          <w:tcPr>
            <w:tcW w:w="122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0,3 do 0,6</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3 do 6</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0,2 do 0,4</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6 do 10</w:t>
            </w:r>
          </w:p>
        </w:tc>
        <w:tc>
          <w:tcPr>
            <w:tcW w:w="2658"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Zalecane do piasków pylastych i gliniastych, pospółek gliniastych i glin piaszczystych</w:t>
            </w:r>
          </w:p>
        </w:tc>
      </w:tr>
      <w:tr w:rsidR="0034055A" w:rsidRPr="007078D3" w:rsidTr="0034055A">
        <w:tc>
          <w:tcPr>
            <w:tcW w:w="178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Zagęszczarki wibracyjne **</w:t>
            </w:r>
          </w:p>
        </w:tc>
        <w:tc>
          <w:tcPr>
            <w:tcW w:w="122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0,3 do 0,5</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4 do 8</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w:t>
            </w:r>
          </w:p>
        </w:tc>
        <w:tc>
          <w:tcPr>
            <w:tcW w:w="2658"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Zalecane do zasypek wąskich przekopów</w:t>
            </w:r>
          </w:p>
        </w:tc>
      </w:tr>
      <w:tr w:rsidR="0034055A" w:rsidRPr="007078D3" w:rsidTr="0034055A">
        <w:tc>
          <w:tcPr>
            <w:tcW w:w="178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Ubijaki </w:t>
            </w:r>
            <w:r w:rsidRPr="007078D3">
              <w:rPr>
                <w:rStyle w:val="spelle"/>
                <w:sz w:val="18"/>
                <w:szCs w:val="18"/>
              </w:rPr>
              <w:t>szybkouderzające</w:t>
            </w:r>
          </w:p>
        </w:tc>
        <w:tc>
          <w:tcPr>
            <w:tcW w:w="122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0,2 do 0,4</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2 do 4</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0,1 do 0,3</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3 do 5</w:t>
            </w:r>
          </w:p>
        </w:tc>
        <w:tc>
          <w:tcPr>
            <w:tcW w:w="2658"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Zalecane do zasypek wąskich przekopów</w:t>
            </w:r>
          </w:p>
        </w:tc>
      </w:tr>
    </w:tbl>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Walce statyczne są mało przydatne w gruntach kamienistych.</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Wibracyjnie należy zagęszczać warstwy grubości ³15cm, cieńsze warstwy należy zagęszczać statycznie.</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Wartości orientacyjne, właściwe należy ustalić na odcinku próbnym</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3.3. Sprzęt do wykonania robót w gruntach skalistych</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Wykonawca przystępujący do wykonania robót w gruntach skalistych powinien wykazać się dodatkowo, możliwością korzystania z następującego sprzętu:</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sprężarek spalinowych,</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młotów mechanicznych,</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zrywarek mechanicznych,</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wiertarek mechanicznych i wiertnic,</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środków do załadunku i transportu gruntu skalistego.</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3.4. Sprzęt do przenoszenia i układania </w:t>
      </w:r>
      <w:r w:rsidRPr="007078D3">
        <w:rPr>
          <w:rStyle w:val="spelle"/>
          <w:rFonts w:ascii="Times New Roman" w:hAnsi="Times New Roman"/>
          <w:color w:val="000000"/>
          <w:szCs w:val="20"/>
        </w:rPr>
        <w:t>geosyntetyków</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Do przenoszenia i układania </w:t>
      </w:r>
      <w:r w:rsidRPr="007078D3">
        <w:rPr>
          <w:rStyle w:val="spelle"/>
          <w:rFonts w:ascii="Times New Roman" w:hAnsi="Times New Roman" w:cs="Times New Roman"/>
          <w:color w:val="000000"/>
          <w:szCs w:val="20"/>
        </w:rPr>
        <w:t>geosyntetyków</w:t>
      </w:r>
      <w:r w:rsidRPr="007078D3">
        <w:rPr>
          <w:rFonts w:ascii="Times New Roman" w:hAnsi="Times New Roman" w:cs="Times New Roman"/>
          <w:color w:val="000000"/>
          <w:szCs w:val="20"/>
        </w:rPr>
        <w:t>, jeśli są wymagane,  Wykonawca powinien używać odpowiedniego sprzętu zalecanego przez producenta. Wykonawca nie powinien stosować sprzętu mogącego spowodować uszkodzenie układanego materiału.</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98" w:name="_Toc17408014"/>
      <w:bookmarkStart w:id="99" w:name="_Toc17407895"/>
      <w:bookmarkStart w:id="100" w:name="_Toc17407771"/>
      <w:bookmarkStart w:id="101" w:name="_Toc17407536"/>
      <w:bookmarkStart w:id="102" w:name="_4._Transport"/>
      <w:bookmarkEnd w:id="98"/>
      <w:bookmarkEnd w:id="99"/>
      <w:bookmarkEnd w:id="100"/>
      <w:bookmarkEnd w:id="101"/>
      <w:bookmarkEnd w:id="102"/>
      <w:r w:rsidRPr="007078D3">
        <w:rPr>
          <w:rFonts w:ascii="Times New Roman" w:hAnsi="Times New Roman"/>
          <w:caps/>
          <w:color w:val="000000"/>
          <w:szCs w:val="20"/>
        </w:rPr>
        <w:t>4. TRANSPORT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03" w:name="_Toc405615044"/>
      <w:bookmarkStart w:id="104" w:name="_Toc407161192"/>
      <w:bookmarkEnd w:id="103"/>
      <w:bookmarkEnd w:id="104"/>
      <w:r w:rsidRPr="007078D3">
        <w:rPr>
          <w:rFonts w:ascii="Times New Roman" w:hAnsi="Times New Roman"/>
          <w:color w:val="000000"/>
          <w:szCs w:val="20"/>
        </w:rPr>
        <w:t>4.1. Ogólne wymagania dotyczące transportu</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Ogólne wymagania dotyczące transportu podano w </w:t>
      </w:r>
      <w:r w:rsidR="00985629">
        <w:rPr>
          <w:color w:val="000000"/>
          <w:sz w:val="20"/>
          <w:szCs w:val="20"/>
        </w:rPr>
        <w:t>SST</w:t>
      </w:r>
      <w:r w:rsidRPr="007078D3">
        <w:rPr>
          <w:color w:val="000000"/>
          <w:sz w:val="20"/>
          <w:szCs w:val="20"/>
        </w:rPr>
        <w:t xml:space="preserve"> D-M-00.00.00 „Wymagania ogólne” </w:t>
      </w:r>
      <w:r w:rsidRPr="007078D3">
        <w:rPr>
          <w:rStyle w:val="spelle"/>
          <w:color w:val="000000"/>
          <w:sz w:val="20"/>
          <w:szCs w:val="20"/>
        </w:rPr>
        <w:t>pkt</w:t>
      </w:r>
      <w:r w:rsidRPr="007078D3">
        <w:rPr>
          <w:color w:val="000000"/>
          <w:sz w:val="20"/>
          <w:szCs w:val="20"/>
        </w:rPr>
        <w:t> 4.</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05" w:name="_Toc405615045"/>
      <w:bookmarkStart w:id="106" w:name="_Toc407161193"/>
      <w:bookmarkEnd w:id="105"/>
      <w:bookmarkEnd w:id="106"/>
      <w:r w:rsidRPr="007078D3">
        <w:rPr>
          <w:rFonts w:ascii="Times New Roman" w:hAnsi="Times New Roman"/>
          <w:color w:val="000000"/>
          <w:szCs w:val="20"/>
        </w:rPr>
        <w:lastRenderedPageBreak/>
        <w:t>4.2. Transport gruntów</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Wybór środków transportowych oraz metod transportu powinien być dostosowany do rodzaju gruntu (materiału), jego objętości, sposobu odspajania i załadunku oraz do odległości transportu. Wydajność środków transportowych powinna być ponadto dostosowana do wydajności sprzętu stosowanego do urabiania i wbudowania gruntu (materiału). Materiały sypkie należy przewozić w sposób eliminujący możliwość wysypywania, pylenia oraz innego zanieczyszczenia środowiska.</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Zwiększenie odległości transportu ponad wartości zatwierdzone nie może być podstawą roszczeń Wykonawcy, dotyczących dodatkowej zapłaty za transport, o ile zwiększone odległości nie zostały wcześniej zaakceptowane na piśmie przez Inżyniera.</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4.3. Składowanie gruntu</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Wykonawca powinien we własnym zakresie przygotować i zapewnić oddzielne składowanie gruntów i materiałów przydatnych oraz gruntów i materiałów przydatnych po ulepszeniu przewidzianych do wykorzystania.</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Składowanie gruntów i materiałów przez Wykonawcę nie może powodować zagrożenia stateczności wykopów i nasypów. Grunt podczas składowania powinien być chroniony przed negatywnym wpływem czynników atmosferycznych w celu uniknięcia jego degradacji.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4.3. Transport i składowanie </w:t>
      </w:r>
      <w:r w:rsidRPr="007078D3">
        <w:rPr>
          <w:rStyle w:val="spelle"/>
          <w:rFonts w:ascii="Times New Roman" w:hAnsi="Times New Roman"/>
          <w:color w:val="000000"/>
          <w:szCs w:val="20"/>
        </w:rPr>
        <w:t>geosyntetyków</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Wykonawca powinien zadbać, aby transport, przenoszenie, przechowywanie i zabezpieczanie </w:t>
      </w:r>
      <w:r w:rsidRPr="007078D3">
        <w:rPr>
          <w:rStyle w:val="spelle"/>
          <w:rFonts w:ascii="Times New Roman" w:hAnsi="Times New Roman" w:cs="Times New Roman"/>
          <w:color w:val="000000"/>
          <w:szCs w:val="20"/>
        </w:rPr>
        <w:t>geosyntetyków</w:t>
      </w:r>
      <w:r w:rsidRPr="007078D3">
        <w:rPr>
          <w:rFonts w:ascii="Times New Roman" w:hAnsi="Times New Roman" w:cs="Times New Roman"/>
          <w:color w:val="000000"/>
          <w:szCs w:val="20"/>
        </w:rPr>
        <w:t> były wykonywane w sposób nie powodujący mechanicznych lub chemicznych ich uszkodzeń. </w:t>
      </w:r>
      <w:r w:rsidRPr="007078D3">
        <w:rPr>
          <w:rStyle w:val="spelle"/>
          <w:rFonts w:ascii="Times New Roman" w:hAnsi="Times New Roman" w:cs="Times New Roman"/>
          <w:color w:val="000000"/>
          <w:szCs w:val="20"/>
        </w:rPr>
        <w:t>Geosyntetyki</w:t>
      </w:r>
      <w:r w:rsidRPr="007078D3">
        <w:rPr>
          <w:rFonts w:ascii="Times New Roman" w:hAnsi="Times New Roman" w:cs="Times New Roman"/>
          <w:color w:val="000000"/>
          <w:szCs w:val="20"/>
        </w:rPr>
        <w:t> wrażliwe na światło słoneczne powinny pozostawać zakryte w czasie od ich wyprodukowania do wbudowania.</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07" w:name="_Toc17408015"/>
      <w:bookmarkStart w:id="108" w:name="_Toc17407896"/>
      <w:bookmarkStart w:id="109" w:name="_Toc17407772"/>
      <w:bookmarkStart w:id="110" w:name="_Toc17407537"/>
      <w:bookmarkStart w:id="111" w:name="_5._Wykonanie_robót"/>
      <w:bookmarkEnd w:id="107"/>
      <w:bookmarkEnd w:id="108"/>
      <w:bookmarkEnd w:id="109"/>
      <w:bookmarkEnd w:id="110"/>
      <w:bookmarkEnd w:id="111"/>
      <w:r w:rsidRPr="007078D3">
        <w:rPr>
          <w:rFonts w:ascii="Times New Roman" w:hAnsi="Times New Roman"/>
          <w:caps/>
          <w:color w:val="000000"/>
          <w:szCs w:val="20"/>
        </w:rPr>
        <w:t>5. WYKONANIE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12" w:name="_Toc405615047"/>
      <w:bookmarkStart w:id="113" w:name="_Toc407161195"/>
      <w:bookmarkEnd w:id="112"/>
      <w:bookmarkEnd w:id="113"/>
      <w:r w:rsidRPr="007078D3">
        <w:rPr>
          <w:rFonts w:ascii="Times New Roman" w:hAnsi="Times New Roman"/>
          <w:color w:val="000000"/>
          <w:szCs w:val="20"/>
        </w:rPr>
        <w:t>5.1. Ogólne zasady wykonania robót</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Ogólne zasady wykonania robót podano w </w:t>
      </w:r>
      <w:r w:rsidR="00985629">
        <w:rPr>
          <w:color w:val="000000"/>
          <w:sz w:val="20"/>
          <w:szCs w:val="20"/>
        </w:rPr>
        <w:t>SST</w:t>
      </w:r>
      <w:r w:rsidRPr="007078D3">
        <w:rPr>
          <w:color w:val="000000"/>
          <w:sz w:val="20"/>
          <w:szCs w:val="20"/>
        </w:rPr>
        <w:t xml:space="preserve"> D-M-00.00.00 „Wymagania ogólne” </w:t>
      </w:r>
      <w:r w:rsidRPr="007078D3">
        <w:rPr>
          <w:rStyle w:val="spelle"/>
          <w:color w:val="000000"/>
          <w:sz w:val="20"/>
          <w:szCs w:val="20"/>
        </w:rPr>
        <w:t>pkt</w:t>
      </w:r>
      <w:r w:rsidRPr="007078D3">
        <w:rPr>
          <w:color w:val="000000"/>
          <w:sz w:val="20"/>
          <w:szCs w:val="20"/>
        </w:rPr>
        <w:t> 5.</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Wykonawca musi prowadzić roboty ziemne z uwzględnieniem wymagań wynikających z przepisów obowiązujących w zakresie ochrony środowiska. Podstawowe czynniki, które należy uwzględnić to: hałas, sposób prowadzenia robót w gruntach lub materiałach stwarzających zagrożenie zanieczyszczeniem środowiska lub z zastosowaniem takich gruntów lub materiałów, pylenie, ochrona wód gruntowych oraz wpływ wibracji i użycia materiałów wybuchowych na otoczenie, w tym na istniejące obiekty budowlane.</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Wykonawca ma obowiązek zachować szczególną ostrożność w czasie wykonywania robót ziemnych  w sąsiedztwie obiektów takich jak konstrukcje, budynki lub ogrodzenia.</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5.2. Czynności przed rozpoczęciem robót</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 xml:space="preserve">Przed przystąpieniem do wykonywania robót ziemnych należy zakończyć wszelkie roboty przygotowawcze. Zakres robót przygotowawczych i zasady ich wykonania określono w </w:t>
      </w:r>
      <w:r w:rsidR="00985629">
        <w:rPr>
          <w:color w:val="000000"/>
          <w:sz w:val="20"/>
          <w:szCs w:val="20"/>
        </w:rPr>
        <w:t>SST</w:t>
      </w:r>
      <w:r w:rsidRPr="007078D3">
        <w:rPr>
          <w:color w:val="000000"/>
          <w:sz w:val="20"/>
          <w:szCs w:val="20"/>
        </w:rPr>
        <w:t xml:space="preserve"> D-01.00.00 „Roboty przygotowawcze” [2].  </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Przed rozpoczęciem robót ziemnych należy ocenić wpływ warunków atmosferycznych na roboty. Podczas opadów, zależnie od ich intensywności, należy rozważyć wstrzymanie robót ziemnych, prowadzonych w gruntach lub materiałach wrażliwych na działanie wody.</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Przed rozpoczęciem robót w wykopie należy określić rodzaj i stan gruntu, skały lub materiału, który będzie poddany odspojeniu w celu oceny przydatności gruntu, skały lub materiału do budowy nasypów oraz wyboru właściwej metody prowadzenia robót oraz sprzętu.</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Wykonanie wykopów można rozpocząć po przygotowaniu i zaakceptowaniu przez Inżyniera miejsca czasowego składowania odspojonego gruntu, miejsca odkładu lub powierzchni terenu, na której będzie wykonywany nasyp oraz po zapewnieniu odpowiedniego sprzętu do układania i zagęszczania warstw nasypu lub odkładu.</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5.3. Urządzenia i materiały nieprzewidziane w dokumentacji projektowej</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Jeżeli w czasie prowadzenia robót ziemnych zostanie stwierdzone występowanie zanieczyszczonych gruntów, materiałów lub wody to Wykonawca przedstawi do akceptacji Inżyniera sposób postępowania, obejmujący ich zbadanie, odspojenie, usunięcie, transport i utylizację lub składowanie. Wykonawca uzyska zgodę właściwych organów ochrony środowiska, dotyczącą sposobu postępowania z zanieczyszczonymi gruntami, materiałami lub wodą</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natrafienia, w trakcie wykonywania robót ziemnych, na wykopaliska archeologiczne, roboty powinny być wstrzymane do czasu podjęcia przez Wojewódzkiego Konserwatora Zabytków odpowiednich decyzji.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Jeżeli na terenie robót ziemnych napotyka się na materiały niebezpieczne, w tym grunty skażone,  Wykonawca powinien natychmiast  powiadomić  o  tym  Inżyniera i odpowiednie służby.  Wykonawca  powinien  podjąć  wszelkie  środki  w  celu bezpiecznego  przekazania  i  składowania  takich  materiałów  po  konsultacji  z  odpowiednimi służbami.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Jeżeli  na  terenie  robót  ziemnych  zostanie stwierdzone występowanie urządzeń podziemnych nieprzewidzianych w dokumentacji projektowej (instalacje  wodociągowe,  kanalizacyjne,  cieplne,  gazowe,  elektryczne),  wówczas  roboty  należy przerwać, powiadomić Inżyniera, a dalsze prace prowadzić po uzgodnieniu trybu postępowania z instytucjami sprawującymi nadzór </w:t>
      </w:r>
      <w:r w:rsidRPr="007078D3">
        <w:rPr>
          <w:rStyle w:val="spelle"/>
          <w:rFonts w:ascii="Times New Roman" w:hAnsi="Times New Roman" w:cs="Times New Roman"/>
          <w:color w:val="000000"/>
          <w:szCs w:val="20"/>
        </w:rPr>
        <w:t>nad</w:t>
      </w:r>
      <w:r w:rsidRPr="007078D3">
        <w:rPr>
          <w:rFonts w:ascii="Times New Roman" w:hAnsi="Times New Roman" w:cs="Times New Roman"/>
          <w:color w:val="000000"/>
          <w:szCs w:val="20"/>
        </w:rPr>
        <w:t> tymi urządzeniami.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natrafienia  w  trakcie  robót  ziemnych  na śmieci należy je usunąć i wywieźć na miejsce wskazane prze Inżyniera.</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14" w:name="_Toc405615049"/>
      <w:bookmarkStart w:id="115" w:name="_Toc407161197"/>
      <w:bookmarkEnd w:id="114"/>
      <w:bookmarkEnd w:id="115"/>
      <w:r w:rsidRPr="007078D3">
        <w:rPr>
          <w:rFonts w:ascii="Times New Roman" w:hAnsi="Times New Roman"/>
          <w:color w:val="000000"/>
          <w:szCs w:val="20"/>
        </w:rPr>
        <w:t>5.4. Projekt robót ziemnych</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Przed przystąpieniem do robót ziemnych Wykonawca przedstawi Inżynierowi do akceptacji </w:t>
      </w:r>
      <w:r w:rsidRPr="007078D3">
        <w:rPr>
          <w:rStyle w:val="spelle"/>
          <w:rFonts w:ascii="Times New Roman" w:hAnsi="Times New Roman" w:cs="Times New Roman"/>
          <w:color w:val="000000"/>
          <w:szCs w:val="20"/>
        </w:rPr>
        <w:t>projekt</w:t>
      </w:r>
      <w:r w:rsidRPr="007078D3">
        <w:rPr>
          <w:rFonts w:ascii="Times New Roman" w:hAnsi="Times New Roman" w:cs="Times New Roman"/>
          <w:color w:val="000000"/>
          <w:szCs w:val="20"/>
        </w:rPr>
        <w:t> robót ziemnych określający  proces wykonania budowli ziemnych będących przedmiotem kontraktu, w oparciu o następujące główne elementy: badania geotechniczne, ST, wymagania dla materiału nasypowego, rysunki, bilans mas ziemnych, zakres wykorzystania gruntów z wykopów, plan organizacji robót ziemnych, harmonogram robót i ocenę wpływu robót ziemnych na środowisko.</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lastRenderedPageBreak/>
        <w:t>5.5. Odwodnienie pasa robót ziemnych</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Niezależnie od budowy urządzeń stanowiących elementy systemów odwadniających, ujętych w dokumentacji projektowej, Wykonawca powinien, o ile wymagają tego warunki terenowe, wykonać urządzenia, które zapewnią odprowadzenie wód gruntowych i opadowych poza obszar robót ziemnych tak, aby zabezpieczyć grunty przed </w:t>
      </w:r>
      <w:r w:rsidRPr="007078D3">
        <w:rPr>
          <w:rStyle w:val="spelle"/>
          <w:color w:val="000000"/>
          <w:sz w:val="20"/>
          <w:szCs w:val="20"/>
        </w:rPr>
        <w:t>przewilgoceniem</w:t>
      </w:r>
      <w:r w:rsidRPr="007078D3">
        <w:rPr>
          <w:color w:val="000000"/>
          <w:sz w:val="20"/>
          <w:szCs w:val="20"/>
        </w:rPr>
        <w:t> i nawodnieniem. Wykonawca ma obowiązek takiego wykonywania wykopów i nasypów, aby powierzchniom gruntu nadawać w całym okresie trwania robót spadki, zapewniające prawidłowe odwodnienie.</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 Dopuszcza się uzdatnienie </w:t>
      </w:r>
      <w:r w:rsidRPr="007078D3">
        <w:rPr>
          <w:rStyle w:val="spelle"/>
          <w:color w:val="000000"/>
          <w:sz w:val="20"/>
          <w:szCs w:val="20"/>
        </w:rPr>
        <w:t>przewilgoconych</w:t>
      </w:r>
      <w:r w:rsidRPr="007078D3">
        <w:rPr>
          <w:color w:val="000000"/>
          <w:sz w:val="20"/>
          <w:szCs w:val="20"/>
        </w:rPr>
        <w:t> gruntów lub materiałów za zgodą Inżyniera, jeżeli zaproponowany przez Wykonawcę sposób jest poprawny technicznie i zapewni przywrócenie właściwości umożliwiających wbudowanie gruntów lub materiałów.</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Odprowadzenie wód do istniejących zbiorników naturalnych i urządzeń odwadniających musi być poprzedzone uzgodnieniem z odpowiednimi instytucjami.</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Odwodnienie robót ziemnych powinno być realizowane na podstawie projektu odwodnienia robót ziemnych przedstawionego przez Wykonawcę.  </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16" w:name="_Toc405615051"/>
      <w:bookmarkStart w:id="117" w:name="_Toc407161199"/>
      <w:bookmarkEnd w:id="116"/>
      <w:bookmarkEnd w:id="117"/>
      <w:r w:rsidRPr="007078D3">
        <w:rPr>
          <w:rFonts w:ascii="Times New Roman" w:hAnsi="Times New Roman"/>
          <w:color w:val="000000"/>
          <w:szCs w:val="20"/>
        </w:rPr>
        <w:t>5.6. Wykorzystanie gruntów z wykopów do budowy nasypów</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Grunty uzyskane podczas wykonania wykopów powinny być przez Wykonawcę wykorzystane w maksymalnym stopniu do budowy nasypów.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Grunty przydatne do budowy nasypów mogą być wywiezione poza teren budowy, za zezwoleniem lub na polecenie Inżyniera tylko wówczas, gdy stanowią nadmiar objętości robót ziemnych i nie zostaną zagospodarowane na placu budowy.</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Jeżeli grunty przydatne, uzyskane podczas wykonania wykopów, nie będąc nadmiarem objętości robót ziemnych, zostały za zgodą Inżyniera wywiezione przez Wykonawcę poza teren budowy z przeznaczeniem innym niż budowa nasypów lub wykonanie prac objętych kontraktem, Wykonawca jest zobowiązany do dostarczenia na własny koszt równoważnej objętości gruntów przydatnych ze źródeł własnych, zaakceptowanych przez Inżyniera. Grunty i materiały nieprzydatne do budowy nasypów powinny być wywiezione przez Wykonawcę na odkład. Zapewnienie terenów na odkład należy do obowiązków Wykonawcy, o ile nie określono tego inaczej w kontrakcie.</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 Wykonawca proponuje i przedstawia do akceptacji Inżyniera sposób zagospodarowania gruntów przeznaczonych na odkład wraz z miejscem odkładu. Inżynier może nakazać pozostawienie na terenie budowy gruntów, których czasowa nieprzydatność wynika jedynie z powodu zamarznięcia lub nadmiernej wilgotności. Zasady wykonania odkładu określono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D-02.03.01 „Roboty ziemne. Wykonanie nasypów.”</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5.7. Rowy</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b w:val="0"/>
          <w:bCs w:val="0"/>
          <w:color w:val="000000"/>
          <w:szCs w:val="20"/>
        </w:rPr>
        <w:t>            Rowy boczne oraz rowy stokowe powinny być wykonane zgodnie z dokumentacją projektową i ST. Szerokość dna i głębokość rowu nie mogą różnić się od wymiarów projektowanych o więcej niż ± 5 cm, a pochylenie podłużne rowu o więcej niż 0,05%.</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Wykonawca jest zobowiązany utrzymywać drożność rowów w czasie realizacji inwestycji w zakresie wynikającym z wpływu robót na funkcjonowanie istniejącego układu odwodnienia.</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5.8. Układanie </w:t>
      </w:r>
      <w:r w:rsidRPr="007078D3">
        <w:rPr>
          <w:rStyle w:val="spelle"/>
          <w:rFonts w:ascii="Times New Roman" w:hAnsi="Times New Roman"/>
          <w:color w:val="000000"/>
          <w:szCs w:val="20"/>
        </w:rPr>
        <w:t>geosyntetyków</w:t>
      </w:r>
    </w:p>
    <w:p w:rsidR="0034055A" w:rsidRPr="007078D3" w:rsidRDefault="0034055A" w:rsidP="00ED04E8">
      <w:pPr>
        <w:ind w:firstLine="709"/>
        <w:rPr>
          <w:rFonts w:ascii="Times New Roman" w:hAnsi="Times New Roman" w:cs="Times New Roman"/>
          <w:color w:val="000000"/>
          <w:szCs w:val="20"/>
        </w:rPr>
      </w:pPr>
      <w:r w:rsidRPr="007078D3">
        <w:rPr>
          <w:rStyle w:val="spelle"/>
          <w:rFonts w:ascii="Times New Roman" w:hAnsi="Times New Roman" w:cs="Times New Roman"/>
          <w:color w:val="000000"/>
          <w:szCs w:val="20"/>
        </w:rPr>
        <w:t>Geosyntetyki</w:t>
      </w:r>
      <w:r w:rsidRPr="007078D3">
        <w:rPr>
          <w:rFonts w:ascii="Times New Roman" w:hAnsi="Times New Roman" w:cs="Times New Roman"/>
          <w:color w:val="000000"/>
          <w:szCs w:val="20"/>
        </w:rPr>
        <w:t> należy układać łącząc je na zakład zgodnie z dokumentacją projektową i ST. Jeżeli dokumentacja projektowa i ST nie podają inaczej, przylegające do siebie arkusze lub pasy </w:t>
      </w:r>
      <w:r w:rsidRPr="007078D3">
        <w:rPr>
          <w:rStyle w:val="spelle"/>
          <w:rFonts w:ascii="Times New Roman" w:hAnsi="Times New Roman" w:cs="Times New Roman"/>
          <w:color w:val="000000"/>
          <w:szCs w:val="20"/>
        </w:rPr>
        <w:t>geosyntetyków</w:t>
      </w:r>
      <w:r w:rsidRPr="007078D3">
        <w:rPr>
          <w:rFonts w:ascii="Times New Roman" w:hAnsi="Times New Roman" w:cs="Times New Roman"/>
          <w:color w:val="000000"/>
          <w:szCs w:val="20"/>
        </w:rPr>
        <w:t> należy układać z zakładem (i kotwieniem) zgodnie z instrukcją producenta lub decyzją projektanta. Wielkość zakładu pasm </w:t>
      </w:r>
      <w:r w:rsidRPr="007078D3">
        <w:rPr>
          <w:rStyle w:val="spelle"/>
          <w:rFonts w:ascii="Times New Roman" w:hAnsi="Times New Roman" w:cs="Times New Roman"/>
          <w:color w:val="000000"/>
          <w:szCs w:val="20"/>
        </w:rPr>
        <w:t>geosyntetyku</w:t>
      </w:r>
      <w:r w:rsidRPr="007078D3">
        <w:rPr>
          <w:rFonts w:ascii="Times New Roman" w:hAnsi="Times New Roman" w:cs="Times New Roman"/>
          <w:color w:val="000000"/>
          <w:szCs w:val="20"/>
        </w:rPr>
        <w:t> układanych na stabilnym podłożu nie powinna być mniejsza niż 30 </w:t>
      </w:r>
      <w:r w:rsidRPr="007078D3">
        <w:rPr>
          <w:rStyle w:val="spelle"/>
          <w:rFonts w:ascii="Times New Roman" w:hAnsi="Times New Roman" w:cs="Times New Roman"/>
          <w:color w:val="000000"/>
          <w:szCs w:val="20"/>
        </w:rPr>
        <w:t>cm</w:t>
      </w:r>
      <w:r w:rsidRPr="007078D3">
        <w:rPr>
          <w:rFonts w:ascii="Times New Roman" w:hAnsi="Times New Roman" w:cs="Times New Roman"/>
          <w:color w:val="000000"/>
          <w:szCs w:val="20"/>
        </w:rPr>
        <w:t>. W przypadku obniżonej nośności warstwy, na której jest układany </w:t>
      </w:r>
      <w:r w:rsidRPr="007078D3">
        <w:rPr>
          <w:rStyle w:val="spelle"/>
          <w:rFonts w:ascii="Times New Roman" w:hAnsi="Times New Roman" w:cs="Times New Roman"/>
          <w:color w:val="000000"/>
          <w:szCs w:val="20"/>
        </w:rPr>
        <w:t>geosyntetyk</w:t>
      </w:r>
      <w:r w:rsidRPr="007078D3">
        <w:rPr>
          <w:rFonts w:ascii="Times New Roman" w:hAnsi="Times New Roman" w:cs="Times New Roman"/>
          <w:color w:val="000000"/>
          <w:szCs w:val="20"/>
        </w:rPr>
        <w:t>, wielkość zakładu powinna być odpowiednio zwiększona, aby w całym okresie wykonania i eksploatacji budowli ziemnej została zachowana ciągłość warstwy </w:t>
      </w:r>
      <w:r w:rsidRPr="007078D3">
        <w:rPr>
          <w:rStyle w:val="spelle"/>
          <w:rFonts w:ascii="Times New Roman" w:hAnsi="Times New Roman" w:cs="Times New Roman"/>
          <w:color w:val="000000"/>
          <w:szCs w:val="20"/>
        </w:rPr>
        <w:t>geosyntetyku</w:t>
      </w:r>
      <w:r w:rsidRPr="007078D3">
        <w:rPr>
          <w:rFonts w:ascii="Times New Roman" w:hAnsi="Times New Roman" w:cs="Times New Roman"/>
          <w:color w:val="000000"/>
          <w:szCs w:val="20"/>
        </w:rPr>
        <w:t>.</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uszkodzenia </w:t>
      </w:r>
      <w:r w:rsidRPr="007078D3">
        <w:rPr>
          <w:rStyle w:val="spelle"/>
          <w:rFonts w:ascii="Times New Roman" w:hAnsi="Times New Roman" w:cs="Times New Roman"/>
          <w:color w:val="000000"/>
          <w:szCs w:val="20"/>
        </w:rPr>
        <w:t>geosyntetyku</w:t>
      </w:r>
      <w:r w:rsidRPr="007078D3">
        <w:rPr>
          <w:rFonts w:ascii="Times New Roman" w:hAnsi="Times New Roman" w:cs="Times New Roman"/>
          <w:color w:val="000000"/>
          <w:szCs w:val="20"/>
        </w:rPr>
        <w:t> należy, w uzgodnieniu z Inżynierem, przykryć to uszkodzenie pasami </w:t>
      </w:r>
      <w:r w:rsidRPr="007078D3">
        <w:rPr>
          <w:rStyle w:val="spelle"/>
          <w:rFonts w:ascii="Times New Roman" w:hAnsi="Times New Roman" w:cs="Times New Roman"/>
          <w:color w:val="000000"/>
          <w:szCs w:val="20"/>
        </w:rPr>
        <w:t>geosyntetyku</w:t>
      </w:r>
      <w:r w:rsidRPr="007078D3">
        <w:rPr>
          <w:rFonts w:ascii="Times New Roman" w:hAnsi="Times New Roman" w:cs="Times New Roman"/>
          <w:color w:val="000000"/>
          <w:szCs w:val="20"/>
        </w:rPr>
        <w:t> na długości i szerokości większej o 100 cm od obszaru uszkodzonego.</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Warstwa gruntu, na której przewiduje się ułożenie </w:t>
      </w:r>
      <w:r w:rsidRPr="007078D3">
        <w:rPr>
          <w:rStyle w:val="spelle"/>
          <w:rFonts w:ascii="Times New Roman" w:hAnsi="Times New Roman" w:cs="Times New Roman"/>
          <w:color w:val="000000"/>
          <w:szCs w:val="20"/>
        </w:rPr>
        <w:t>geosyntetyku</w:t>
      </w:r>
      <w:r w:rsidRPr="007078D3">
        <w:rPr>
          <w:rFonts w:ascii="Times New Roman" w:hAnsi="Times New Roman" w:cs="Times New Roman"/>
          <w:color w:val="000000"/>
          <w:szCs w:val="20"/>
        </w:rPr>
        <w:t> powinna być równa i bez ostrych występów, mogących spowodować uszkodzenie </w:t>
      </w:r>
      <w:r w:rsidRPr="007078D3">
        <w:rPr>
          <w:rStyle w:val="spelle"/>
          <w:rFonts w:ascii="Times New Roman" w:hAnsi="Times New Roman" w:cs="Times New Roman"/>
          <w:color w:val="000000"/>
          <w:szCs w:val="20"/>
        </w:rPr>
        <w:t>geosyntetyku</w:t>
      </w:r>
      <w:r w:rsidRPr="007078D3">
        <w:rPr>
          <w:rFonts w:ascii="Times New Roman" w:hAnsi="Times New Roman" w:cs="Times New Roman"/>
          <w:color w:val="000000"/>
          <w:szCs w:val="20"/>
        </w:rPr>
        <w:t> w czasie układania lub pracy. Metoda układania powinna zapewnić przyleganie </w:t>
      </w:r>
      <w:r w:rsidRPr="007078D3">
        <w:rPr>
          <w:rStyle w:val="spelle"/>
          <w:rFonts w:ascii="Times New Roman" w:hAnsi="Times New Roman" w:cs="Times New Roman"/>
          <w:color w:val="000000"/>
          <w:szCs w:val="20"/>
        </w:rPr>
        <w:t>geosyntetyku</w:t>
      </w:r>
      <w:r w:rsidRPr="007078D3">
        <w:rPr>
          <w:rFonts w:ascii="Times New Roman" w:hAnsi="Times New Roman" w:cs="Times New Roman"/>
          <w:color w:val="000000"/>
          <w:szCs w:val="20"/>
        </w:rPr>
        <w:t> do warstwy, na której jest układana, na całej jej powierzchni. </w:t>
      </w:r>
      <w:r w:rsidRPr="007078D3">
        <w:rPr>
          <w:rStyle w:val="spelle"/>
          <w:rFonts w:ascii="Times New Roman" w:hAnsi="Times New Roman" w:cs="Times New Roman"/>
          <w:color w:val="000000"/>
          <w:szCs w:val="20"/>
        </w:rPr>
        <w:t>Geosyntetyków</w:t>
      </w:r>
      <w:r w:rsidRPr="007078D3">
        <w:rPr>
          <w:rFonts w:ascii="Times New Roman" w:hAnsi="Times New Roman" w:cs="Times New Roman"/>
          <w:color w:val="000000"/>
          <w:szCs w:val="20"/>
        </w:rPr>
        <w:t> nie należy naciągać lub powodować ich zawieszenia na wzgórkach (garbach) lub </w:t>
      </w:r>
      <w:r w:rsidRPr="007078D3">
        <w:rPr>
          <w:rStyle w:val="spelle"/>
          <w:rFonts w:ascii="Times New Roman" w:hAnsi="Times New Roman" w:cs="Times New Roman"/>
          <w:color w:val="000000"/>
          <w:szCs w:val="20"/>
        </w:rPr>
        <w:t>nad</w:t>
      </w:r>
      <w:r w:rsidRPr="007078D3">
        <w:rPr>
          <w:rFonts w:ascii="Times New Roman" w:hAnsi="Times New Roman" w:cs="Times New Roman"/>
          <w:color w:val="000000"/>
          <w:szCs w:val="20"/>
        </w:rPr>
        <w:t> dołami. Nie dopuszcza się ruchu maszyn budowlanych bezpośrednio na ułożonych </w:t>
      </w:r>
      <w:r w:rsidRPr="007078D3">
        <w:rPr>
          <w:rStyle w:val="spelle"/>
          <w:rFonts w:ascii="Times New Roman" w:hAnsi="Times New Roman" w:cs="Times New Roman"/>
          <w:color w:val="000000"/>
          <w:szCs w:val="20"/>
        </w:rPr>
        <w:t>geosyntetykach</w:t>
      </w:r>
      <w:r w:rsidRPr="007078D3">
        <w:rPr>
          <w:rFonts w:ascii="Times New Roman" w:hAnsi="Times New Roman" w:cs="Times New Roman"/>
          <w:color w:val="000000"/>
          <w:szCs w:val="20"/>
        </w:rPr>
        <w:t>. Należy je przykryć gruntem nasypowym niezwłocznie po ułożeniu.</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Pasma </w:t>
      </w:r>
      <w:r w:rsidRPr="007078D3">
        <w:rPr>
          <w:rStyle w:val="spelle"/>
          <w:rFonts w:ascii="Times New Roman" w:hAnsi="Times New Roman" w:cs="Times New Roman"/>
          <w:color w:val="000000"/>
          <w:szCs w:val="20"/>
        </w:rPr>
        <w:t>geosyntetyków</w:t>
      </w:r>
      <w:r w:rsidRPr="007078D3">
        <w:rPr>
          <w:rFonts w:ascii="Times New Roman" w:hAnsi="Times New Roman" w:cs="Times New Roman"/>
          <w:color w:val="000000"/>
          <w:szCs w:val="20"/>
        </w:rPr>
        <w:t> pełniących funkcję zbrojenia skarp, należy układać zgodnie z zasadami określonymi w dokumentacji projektowej. Konieczna jest jednoznaczna informacja dotycząca kierunku ułożenia pasm </w:t>
      </w:r>
      <w:r w:rsidRPr="007078D3">
        <w:rPr>
          <w:rStyle w:val="spelle"/>
          <w:rFonts w:ascii="Times New Roman" w:hAnsi="Times New Roman" w:cs="Times New Roman"/>
          <w:color w:val="000000"/>
          <w:szCs w:val="20"/>
        </w:rPr>
        <w:t>geosyntetyku</w:t>
      </w:r>
      <w:r w:rsidRPr="007078D3">
        <w:rPr>
          <w:rFonts w:ascii="Times New Roman" w:hAnsi="Times New Roman" w:cs="Times New Roman"/>
          <w:color w:val="000000"/>
          <w:szCs w:val="20"/>
        </w:rPr>
        <w:t>, z uwzględnieniem kierunku jego produkcji, długości pasm oraz sposobu ich łączenia (na styk, z zakładem lub z odstępem). Jeżeli brak takiej pełnej informacji, zostanie ona uzupełniona przez projektanta.</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Nie dopuszcza się ruchu pojazdów bezpośrednio po ułożonych </w:t>
      </w:r>
      <w:r w:rsidRPr="007078D3">
        <w:rPr>
          <w:rStyle w:val="spelle"/>
          <w:rFonts w:ascii="Times New Roman" w:hAnsi="Times New Roman" w:cs="Times New Roman"/>
          <w:color w:val="000000"/>
          <w:szCs w:val="20"/>
        </w:rPr>
        <w:t>geosyntetykach</w:t>
      </w:r>
      <w:r w:rsidRPr="007078D3">
        <w:rPr>
          <w:rFonts w:ascii="Times New Roman" w:hAnsi="Times New Roman" w:cs="Times New Roman"/>
          <w:color w:val="000000"/>
          <w:szCs w:val="20"/>
        </w:rPr>
        <w:t>. Warstwę </w:t>
      </w:r>
      <w:r w:rsidRPr="007078D3">
        <w:rPr>
          <w:rStyle w:val="spelle"/>
          <w:rFonts w:ascii="Times New Roman" w:hAnsi="Times New Roman" w:cs="Times New Roman"/>
          <w:color w:val="000000"/>
          <w:szCs w:val="20"/>
        </w:rPr>
        <w:t>geosyntetyków</w:t>
      </w:r>
      <w:r w:rsidRPr="007078D3">
        <w:rPr>
          <w:rFonts w:ascii="Times New Roman" w:hAnsi="Times New Roman" w:cs="Times New Roman"/>
          <w:color w:val="000000"/>
          <w:szCs w:val="20"/>
        </w:rPr>
        <w:t> należy, niezwłocznie po ułożeniu, przykryć gruntem lub materiałem stosowanym do budowy nasypu. W przeciętnych warunkach minimalna grubość warstwy ułożonej na warstwie </w:t>
      </w:r>
      <w:r w:rsidRPr="007078D3">
        <w:rPr>
          <w:rStyle w:val="spelle"/>
          <w:rFonts w:ascii="Times New Roman" w:hAnsi="Times New Roman" w:cs="Times New Roman"/>
          <w:color w:val="000000"/>
          <w:szCs w:val="20"/>
        </w:rPr>
        <w:t>geosyntetyków</w:t>
      </w:r>
      <w:r w:rsidRPr="007078D3">
        <w:rPr>
          <w:rFonts w:ascii="Times New Roman" w:hAnsi="Times New Roman" w:cs="Times New Roman"/>
          <w:color w:val="000000"/>
          <w:szCs w:val="20"/>
        </w:rPr>
        <w:t> umożliwiająca dopuszczenie ruchu pojazdów wynosi 15cm.</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5.9. Wymagania dotyczące zagęszczenia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5.9.1.</w:t>
      </w:r>
      <w:r w:rsidRPr="007078D3">
        <w:rPr>
          <w:rFonts w:ascii="Times New Roman" w:hAnsi="Times New Roman" w:cs="Times New Roman"/>
          <w:color w:val="000000"/>
          <w:szCs w:val="20"/>
        </w:rPr>
        <w:t> Określanie wskaźnika zagęszczenia metodą </w:t>
      </w:r>
      <w:r w:rsidRPr="007078D3">
        <w:rPr>
          <w:rStyle w:val="spelle"/>
          <w:rFonts w:ascii="Times New Roman" w:hAnsi="Times New Roman" w:cs="Times New Roman"/>
          <w:color w:val="000000"/>
          <w:szCs w:val="20"/>
        </w:rPr>
        <w:t>Proctora</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Roboty ziemne należy wykonać w sposób zapewniający uzyskanie wymaganych wskaźników zagęszczenia </w:t>
      </w:r>
      <w:r w:rsidRPr="007078D3">
        <w:rPr>
          <w:rStyle w:val="spelle"/>
          <w:rFonts w:ascii="Times New Roman" w:hAnsi="Times New Roman" w:cs="Times New Roman"/>
          <w:color w:val="000000"/>
          <w:szCs w:val="20"/>
        </w:rPr>
        <w:t>Is</w:t>
      </w:r>
      <w:r w:rsidRPr="007078D3">
        <w:rPr>
          <w:rFonts w:ascii="Times New Roman" w:hAnsi="Times New Roman" w:cs="Times New Roman"/>
          <w:color w:val="000000"/>
          <w:szCs w:val="20"/>
        </w:rPr>
        <w:t> korpusu ziemnego, określonych w ST. Wskaźnik zagęszczenia należy badać zgodnie z zasadami podanymi w normie BN-77/8931-12 [11]     i obliczać według wzoru określonego w p. 1.4.21, przy czym badania wilgotności optymalnej i maksymalnej gęstości objętościowej szkieletu należy przeprowadzić wg  normy PN-B-04481 [7],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xml:space="preserve"> 8 (dla gruntów)  i wg normy PN-EN 13286-2 [15]  </w:t>
      </w:r>
      <w:r w:rsidRPr="007078D3">
        <w:rPr>
          <w:rFonts w:ascii="Times New Roman" w:hAnsi="Times New Roman" w:cs="Times New Roman"/>
          <w:color w:val="000000"/>
          <w:szCs w:val="20"/>
        </w:rPr>
        <w:lastRenderedPageBreak/>
        <w:t>(dla kruszyw). W oznaczeniu wilgotności optymalnej i maksymalnej gęstości objętościowej szkieletu gruntów i mieszanek kruszyw oraz wartości wskaźnika zagęszczenia </w:t>
      </w:r>
      <w:r w:rsidRPr="007078D3">
        <w:rPr>
          <w:rStyle w:val="spelle"/>
          <w:rFonts w:ascii="Times New Roman" w:hAnsi="Times New Roman" w:cs="Times New Roman"/>
          <w:color w:val="000000"/>
          <w:szCs w:val="20"/>
        </w:rPr>
        <w:t>Is</w:t>
      </w:r>
      <w:r w:rsidRPr="007078D3">
        <w:rPr>
          <w:rFonts w:ascii="Times New Roman" w:hAnsi="Times New Roman" w:cs="Times New Roman"/>
          <w:color w:val="000000"/>
          <w:szCs w:val="20"/>
        </w:rPr>
        <w:t> należy stosować badanie </w:t>
      </w:r>
      <w:r w:rsidRPr="007078D3">
        <w:rPr>
          <w:rStyle w:val="spelle"/>
          <w:rFonts w:ascii="Times New Roman" w:hAnsi="Times New Roman" w:cs="Times New Roman"/>
          <w:color w:val="000000"/>
          <w:szCs w:val="20"/>
        </w:rPr>
        <w:t>Proctora</w:t>
      </w:r>
      <w:r w:rsidRPr="007078D3">
        <w:rPr>
          <w:rFonts w:ascii="Times New Roman" w:hAnsi="Times New Roman" w:cs="Times New Roman"/>
          <w:color w:val="000000"/>
          <w:szCs w:val="20"/>
        </w:rPr>
        <w:t> i energię zagęszczania około 0,6 MJ/m</w:t>
      </w:r>
      <w:r w:rsidRPr="007078D3">
        <w:rPr>
          <w:rFonts w:ascii="Times New Roman" w:hAnsi="Times New Roman" w:cs="Times New Roman"/>
          <w:color w:val="000000"/>
          <w:szCs w:val="20"/>
          <w:vertAlign w:val="superscript"/>
        </w:rPr>
        <w:t>3</w:t>
      </w:r>
      <w:r w:rsidRPr="007078D3">
        <w:rPr>
          <w:rFonts w:ascii="Times New Roman" w:hAnsi="Times New Roman" w:cs="Times New Roman"/>
          <w:color w:val="000000"/>
          <w:szCs w:val="20"/>
        </w:rPr>
        <w:t>.</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Wskaźnik zagęszczenia </w:t>
      </w:r>
      <w:r w:rsidRPr="007078D3">
        <w:rPr>
          <w:rStyle w:val="spelle"/>
          <w:rFonts w:ascii="Times New Roman" w:hAnsi="Times New Roman" w:cs="Times New Roman"/>
          <w:color w:val="000000"/>
          <w:szCs w:val="20"/>
        </w:rPr>
        <w:t>Is</w:t>
      </w:r>
      <w:r w:rsidRPr="007078D3">
        <w:rPr>
          <w:rFonts w:ascii="Times New Roman" w:hAnsi="Times New Roman" w:cs="Times New Roman"/>
          <w:color w:val="000000"/>
          <w:szCs w:val="20"/>
        </w:rPr>
        <w:t> należy określić w odniesieniu do całej objętości nasypu i do głębokości 0,5 metra w podłożu nasypu oraz do głębokości 0,5 metra od spodu konstrukcji nawierzchni w wykopach i miejscach zerowych. Szczegółowe wymagania dotyczące wartości wskaźników zagęszczenia </w:t>
      </w:r>
      <w:r w:rsidRPr="007078D3">
        <w:rPr>
          <w:rStyle w:val="spelle"/>
          <w:rFonts w:ascii="Times New Roman" w:hAnsi="Times New Roman" w:cs="Times New Roman"/>
          <w:color w:val="000000"/>
          <w:szCs w:val="20"/>
        </w:rPr>
        <w:t>Is</w:t>
      </w:r>
      <w:r w:rsidRPr="007078D3">
        <w:rPr>
          <w:rFonts w:ascii="Times New Roman" w:hAnsi="Times New Roman" w:cs="Times New Roman"/>
          <w:color w:val="000000"/>
          <w:szCs w:val="20"/>
        </w:rPr>
        <w:t xml:space="preserve"> w wykopach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D-02.01.01 [3]. Szczegółowe wymagania dotyczące wartości wskaźników zagęszczenia </w:t>
      </w:r>
      <w:r w:rsidRPr="007078D3">
        <w:rPr>
          <w:rStyle w:val="spelle"/>
          <w:rFonts w:ascii="Times New Roman" w:hAnsi="Times New Roman" w:cs="Times New Roman"/>
          <w:color w:val="000000"/>
          <w:szCs w:val="20"/>
        </w:rPr>
        <w:t>Is</w:t>
      </w:r>
      <w:r w:rsidRPr="007078D3">
        <w:rPr>
          <w:rFonts w:ascii="Times New Roman" w:hAnsi="Times New Roman" w:cs="Times New Roman"/>
          <w:color w:val="000000"/>
          <w:szCs w:val="20"/>
        </w:rPr>
        <w:t xml:space="preserve"> w nasypach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D-02.03.01 [5].</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5.9.2.</w:t>
      </w:r>
      <w:r w:rsidRPr="007078D3">
        <w:rPr>
          <w:rFonts w:ascii="Times New Roman" w:hAnsi="Times New Roman" w:cs="Times New Roman"/>
          <w:color w:val="000000"/>
          <w:szCs w:val="20"/>
        </w:rPr>
        <w:t> Ocena stanu zagęszczenia na podstawie wskaźnika odkształcenia</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niewielkiego zakresu robót oraz dużej jednorodności gruntu/materiału w ocenianej warstwie, dopuszcza się, za zgodą Inżyniera,  kontrolę i ocenę stanu zagęszczenia warstw gruntów lub materiałów na podstawie wskaźnika odkształcenia </w:t>
      </w:r>
      <w:r w:rsidRPr="007078D3">
        <w:rPr>
          <w:rStyle w:val="spelle"/>
          <w:rFonts w:ascii="Times New Roman" w:hAnsi="Times New Roman" w:cs="Times New Roman"/>
          <w:color w:val="000000"/>
          <w:szCs w:val="20"/>
        </w:rPr>
        <w:t>Io</w:t>
      </w:r>
      <w:r w:rsidRPr="007078D3">
        <w:rPr>
          <w:rFonts w:ascii="Times New Roman" w:hAnsi="Times New Roman" w:cs="Times New Roman"/>
          <w:color w:val="000000"/>
          <w:szCs w:val="20"/>
        </w:rPr>
        <w:t xml:space="preserve">. Dopuszczenie tej metody wymaga potwierdzenia na odcinku próbnym i akceptacji przez Inżyniera wartości wskaźnika odkształcenia, stanowiących kryterium akceptacji stanu zagęszczenia, w odniesieniu do gruntów i materiałów stosowanych w konkretnym przypadku. Wskaźnik odkształcenia należy obliczać według wzoru określonego w p. 1.4.23 na podstawie wartości modułów odkształcenia oznaczanych pod obciążeniem statycznym lub dynamicznym, przy czym oznaczenie modułu odkształcenia odnosi się do nośności warstwy w chwili przeprowadzenia badania. Wartość modułu badanego na podstawie wskaźnika odkształcenia  można uznać za miarodajną w odniesieniu do kryteriów określonych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jeżeli wilgotność gruntu/materiału warstwy w czasie badania nie jest wyższa od wilgotności jaką miał on w czasie zagęszczania oraz jest od niej niższa nie więcej niż o 2%.</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Zagęszczenie uznaje się za wystarczające, jeżeli jednocześnie jest spełnione wymaganie dotyczące maksymalnej wartości wskaźnika odkształcenia </w:t>
      </w:r>
      <w:r w:rsidRPr="007078D3">
        <w:rPr>
          <w:rStyle w:val="spelle"/>
          <w:rFonts w:ascii="Times New Roman" w:hAnsi="Times New Roman" w:cs="Times New Roman"/>
          <w:color w:val="000000"/>
          <w:szCs w:val="20"/>
        </w:rPr>
        <w:t>Io</w:t>
      </w:r>
      <w:r w:rsidRPr="007078D3">
        <w:rPr>
          <w:rFonts w:ascii="Times New Roman" w:hAnsi="Times New Roman" w:cs="Times New Roman"/>
          <w:color w:val="000000"/>
          <w:szCs w:val="20"/>
        </w:rPr>
        <w:t> oraz minimalnej wartości wtórnego modułu odkształcenia E2.</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Orientacyjne, maksymalne wartości wskaźnika odkształcenia, w zależności od rodzaju gruntu lub innego materiału w badanej warstwie, określono w tabeli 4.</w:t>
      </w:r>
    </w:p>
    <w:p w:rsidR="0034055A" w:rsidRPr="007078D3" w:rsidRDefault="0034055A" w:rsidP="00ED04E8">
      <w:pPr>
        <w:pStyle w:val="Legenda"/>
        <w:spacing w:before="0" w:beforeAutospacing="0" w:after="0" w:afterAutospacing="0"/>
        <w:jc w:val="both"/>
        <w:rPr>
          <w:color w:val="000000"/>
          <w:sz w:val="20"/>
          <w:szCs w:val="20"/>
        </w:rPr>
      </w:pPr>
      <w:bookmarkStart w:id="118" w:name="_Toc24581327"/>
      <w:r w:rsidRPr="007078D3">
        <w:rPr>
          <w:color w:val="000000"/>
          <w:sz w:val="20"/>
          <w:szCs w:val="20"/>
        </w:rPr>
        <w:t>Tabela </w:t>
      </w:r>
      <w:bookmarkEnd w:id="118"/>
      <w:r w:rsidRPr="007078D3">
        <w:rPr>
          <w:color w:val="000000"/>
          <w:sz w:val="20"/>
          <w:szCs w:val="20"/>
        </w:rPr>
        <w:t>4. Maksymalne wartości wskaźnika odkształcenia w drogowych robotach ziemnych</w:t>
      </w:r>
    </w:p>
    <w:tbl>
      <w:tblPr>
        <w:tblW w:w="0" w:type="auto"/>
        <w:shd w:val="clear" w:color="auto" w:fill="EAEAEA"/>
        <w:tblCellMar>
          <w:left w:w="0" w:type="dxa"/>
          <w:right w:w="0" w:type="dxa"/>
        </w:tblCellMar>
        <w:tblLook w:val="04A0"/>
      </w:tblPr>
      <w:tblGrid>
        <w:gridCol w:w="6040"/>
        <w:gridCol w:w="2963"/>
      </w:tblGrid>
      <w:tr w:rsidR="0034055A" w:rsidRPr="007078D3" w:rsidTr="0034055A">
        <w:tc>
          <w:tcPr>
            <w:tcW w:w="6040" w:type="dxa"/>
            <w:tcBorders>
              <w:top w:val="single" w:sz="8" w:space="0" w:color="auto"/>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Grunt lub materiał</w:t>
            </w:r>
          </w:p>
        </w:tc>
        <w:tc>
          <w:tcPr>
            <w:tcW w:w="2963" w:type="dxa"/>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Maksymalna wartość wskaźnika odkształcenia </w:t>
            </w:r>
            <w:r w:rsidRPr="007078D3">
              <w:rPr>
                <w:rStyle w:val="spelle"/>
                <w:rFonts w:ascii="Times New Roman" w:hAnsi="Times New Roman" w:cs="Times New Roman"/>
                <w:sz w:val="18"/>
                <w:szCs w:val="18"/>
              </w:rPr>
              <w:t>Io</w:t>
            </w:r>
          </w:p>
        </w:tc>
      </w:tr>
      <w:tr w:rsidR="0034055A" w:rsidRPr="007078D3" w:rsidTr="0034055A">
        <w:tc>
          <w:tcPr>
            <w:tcW w:w="60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Grunty niespoiste oraz wymagania </w:t>
            </w:r>
            <w:r w:rsidRPr="007078D3">
              <w:rPr>
                <w:rStyle w:val="spelle"/>
                <w:rFonts w:ascii="Times New Roman" w:hAnsi="Times New Roman" w:cs="Times New Roman"/>
                <w:sz w:val="18"/>
                <w:szCs w:val="18"/>
              </w:rPr>
              <w:t>Is</w:t>
            </w:r>
            <w:r w:rsidRPr="007078D3">
              <w:rPr>
                <w:rFonts w:ascii="Times New Roman" w:hAnsi="Times New Roman" w:cs="Times New Roman"/>
                <w:sz w:val="18"/>
                <w:szCs w:val="18"/>
              </w:rPr>
              <w:t> ≥ 1.0</w:t>
            </w:r>
          </w:p>
        </w:tc>
        <w:tc>
          <w:tcPr>
            <w:tcW w:w="2963"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2,2</w:t>
            </w:r>
          </w:p>
        </w:tc>
      </w:tr>
      <w:tr w:rsidR="0034055A" w:rsidRPr="007078D3" w:rsidTr="0034055A">
        <w:tc>
          <w:tcPr>
            <w:tcW w:w="60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Grunty niespoiste oraz wymaganie </w:t>
            </w:r>
            <w:r w:rsidRPr="007078D3">
              <w:rPr>
                <w:rStyle w:val="spelle"/>
                <w:rFonts w:ascii="Times New Roman" w:hAnsi="Times New Roman" w:cs="Times New Roman"/>
                <w:sz w:val="18"/>
                <w:szCs w:val="18"/>
              </w:rPr>
              <w:t>Is</w:t>
            </w:r>
            <w:r w:rsidRPr="007078D3">
              <w:rPr>
                <w:rFonts w:ascii="Times New Roman" w:hAnsi="Times New Roman" w:cs="Times New Roman"/>
                <w:sz w:val="18"/>
                <w:szCs w:val="18"/>
              </w:rPr>
              <w:t> &lt; 1.0</w:t>
            </w:r>
          </w:p>
        </w:tc>
        <w:tc>
          <w:tcPr>
            <w:tcW w:w="2963"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2,5</w:t>
            </w:r>
          </w:p>
        </w:tc>
      </w:tr>
      <w:tr w:rsidR="0034055A" w:rsidRPr="007078D3" w:rsidTr="0034055A">
        <w:tc>
          <w:tcPr>
            <w:tcW w:w="60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Grunty stabilizowane spoiwami do 12 h od zakończenia zagęszczania</w:t>
            </w:r>
          </w:p>
        </w:tc>
        <w:tc>
          <w:tcPr>
            <w:tcW w:w="2963"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2,2</w:t>
            </w:r>
          </w:p>
        </w:tc>
      </w:tr>
      <w:tr w:rsidR="0034055A" w:rsidRPr="007078D3" w:rsidTr="0034055A">
        <w:tc>
          <w:tcPr>
            <w:tcW w:w="60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Grunty drobnoziarniste o równomiernym uziarnieniu</w:t>
            </w:r>
          </w:p>
        </w:tc>
        <w:tc>
          <w:tcPr>
            <w:tcW w:w="2963"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2,0</w:t>
            </w:r>
          </w:p>
        </w:tc>
      </w:tr>
      <w:tr w:rsidR="0034055A" w:rsidRPr="007078D3" w:rsidTr="0034055A">
        <w:tc>
          <w:tcPr>
            <w:tcW w:w="60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Grunty o zróżnicowanym uziarnieniu</w:t>
            </w:r>
          </w:p>
        </w:tc>
        <w:tc>
          <w:tcPr>
            <w:tcW w:w="2963"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3,0</w:t>
            </w:r>
          </w:p>
        </w:tc>
      </w:tr>
      <w:tr w:rsidR="0034055A" w:rsidRPr="007078D3" w:rsidTr="0034055A">
        <w:tc>
          <w:tcPr>
            <w:tcW w:w="60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Grunty kamieniste</w:t>
            </w:r>
          </w:p>
        </w:tc>
        <w:tc>
          <w:tcPr>
            <w:tcW w:w="2963"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4,0</w:t>
            </w:r>
          </w:p>
        </w:tc>
      </w:tr>
      <w:tr w:rsidR="0034055A" w:rsidRPr="007078D3" w:rsidTr="0034055A">
        <w:tc>
          <w:tcPr>
            <w:tcW w:w="60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Grunty i materiały antropogeniczne</w:t>
            </w:r>
          </w:p>
        </w:tc>
        <w:tc>
          <w:tcPr>
            <w:tcW w:w="2963"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wartość należy określić na podstawie badań</w:t>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ind w:left="839" w:hanging="839"/>
        <w:rPr>
          <w:rFonts w:ascii="Times New Roman" w:hAnsi="Times New Roman" w:cs="Times New Roman"/>
          <w:color w:val="000000"/>
          <w:szCs w:val="20"/>
        </w:rPr>
      </w:pPr>
      <w:r w:rsidRPr="007078D3">
        <w:rPr>
          <w:rFonts w:ascii="Times New Roman" w:hAnsi="Times New Roman" w:cs="Times New Roman"/>
          <w:color w:val="000000"/>
          <w:szCs w:val="20"/>
        </w:rPr>
        <w:t>5.9.2.1. Oznaczenie modułu odkształcenia podłoża przez obciążenie płytą pod obciążeniem statycznym</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Oznaczenie modułu odkształcenia podłoża przez obciążenie płytą pod obciążeniem statycznym należy wykonać wg procedury zawartej w załączniku B do normy PN-S-2205.</w:t>
      </w:r>
    </w:p>
    <w:p w:rsidR="0034055A" w:rsidRPr="007078D3" w:rsidRDefault="0034055A" w:rsidP="00ED04E8">
      <w:pPr>
        <w:ind w:left="840" w:hanging="840"/>
        <w:rPr>
          <w:rFonts w:ascii="Times New Roman" w:hAnsi="Times New Roman" w:cs="Times New Roman"/>
          <w:color w:val="000000"/>
          <w:szCs w:val="20"/>
        </w:rPr>
      </w:pPr>
      <w:r w:rsidRPr="007078D3">
        <w:rPr>
          <w:rFonts w:ascii="Times New Roman" w:hAnsi="Times New Roman" w:cs="Times New Roman"/>
          <w:color w:val="000000"/>
          <w:szCs w:val="20"/>
        </w:rPr>
        <w:t>5.9.2.2. Oznaczenie modułu odkształcenia podłoża pod obciążeniem dynamicznym lekką płytą (LPD)</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Badanie lekką płytą dynamiczną (LPD) można stosować wyłącznie w kontroli warstw wykonanych z gruntów i materiałów </w:t>
      </w:r>
      <w:r w:rsidRPr="007078D3">
        <w:rPr>
          <w:rStyle w:val="spelle"/>
          <w:rFonts w:ascii="Times New Roman" w:hAnsi="Times New Roman" w:cs="Times New Roman"/>
          <w:color w:val="000000"/>
          <w:szCs w:val="20"/>
        </w:rPr>
        <w:t>nieplastycznych</w:t>
      </w:r>
      <w:r w:rsidRPr="007078D3">
        <w:rPr>
          <w:rFonts w:ascii="Times New Roman" w:hAnsi="Times New Roman" w:cs="Times New Roman"/>
          <w:color w:val="000000"/>
          <w:szCs w:val="20"/>
        </w:rPr>
        <w:t> (niespoistych) o uziarnieniach do 63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 Należy stosować płytę o średnicy 30 </w:t>
      </w:r>
      <w:r w:rsidRPr="007078D3">
        <w:rPr>
          <w:rStyle w:val="spelle"/>
          <w:rFonts w:ascii="Times New Roman" w:hAnsi="Times New Roman" w:cs="Times New Roman"/>
          <w:color w:val="000000"/>
          <w:szCs w:val="20"/>
        </w:rPr>
        <w:t>cm</w:t>
      </w:r>
      <w:r w:rsidRPr="007078D3">
        <w:rPr>
          <w:rFonts w:ascii="Times New Roman" w:hAnsi="Times New Roman" w:cs="Times New Roman"/>
          <w:color w:val="000000"/>
          <w:szCs w:val="20"/>
        </w:rPr>
        <w:t>. Głębokość oddziaływania LPD jest równa średnicy płyty. Oznacza to, że w przypadku stosowania płyty o średnicy 30 cm nie należy poddawać badaniu warstw grubszych niż 30 </w:t>
      </w:r>
      <w:r w:rsidRPr="007078D3">
        <w:rPr>
          <w:rStyle w:val="spelle"/>
          <w:rFonts w:ascii="Times New Roman" w:hAnsi="Times New Roman" w:cs="Times New Roman"/>
          <w:color w:val="000000"/>
          <w:szCs w:val="20"/>
        </w:rPr>
        <w:t>cm</w:t>
      </w:r>
      <w:r w:rsidRPr="007078D3">
        <w:rPr>
          <w:rFonts w:ascii="Times New Roman" w:hAnsi="Times New Roman" w:cs="Times New Roman"/>
          <w:color w:val="000000"/>
          <w:szCs w:val="20"/>
        </w:rPr>
        <w:t>. W przypadku badania warstw cieńszych niż średnica płyty należy wykluczyć możliwość wpływu warstwy leżącej niżej na wynik oznaczenia. Stosowane urządzenie musi mieć ważny dokument certyfikacji. Należy ściśle przestrzegać procedury oznaczania modułu odkształcenia podłoża pod obciążeniem dynamicznym, określonej przez producenta w instrukcji stosowania urządzenia. Badanie LPD może być wykorzystane jako pośrednia metoda oceny zagęszczenia i/lub nośności warstwy na podstawie zaakceptowanych przez Inżyniera korelacji wartości dynamicznego modułu odkształcenia </w:t>
      </w:r>
      <w:r w:rsidRPr="007078D3">
        <w:rPr>
          <w:rStyle w:val="spelle"/>
          <w:rFonts w:ascii="Times New Roman" w:hAnsi="Times New Roman" w:cs="Times New Roman"/>
          <w:color w:val="000000"/>
          <w:szCs w:val="20"/>
        </w:rPr>
        <w:t>Evd</w:t>
      </w:r>
      <w:r w:rsidRPr="007078D3">
        <w:rPr>
          <w:rFonts w:ascii="Times New Roman" w:hAnsi="Times New Roman" w:cs="Times New Roman"/>
          <w:color w:val="000000"/>
          <w:szCs w:val="20"/>
        </w:rPr>
        <w:t> z wartościami wskaźnika zagęszczenia </w:t>
      </w:r>
      <w:r w:rsidRPr="007078D3">
        <w:rPr>
          <w:rStyle w:val="spelle"/>
          <w:rFonts w:ascii="Times New Roman" w:hAnsi="Times New Roman" w:cs="Times New Roman"/>
          <w:color w:val="000000"/>
          <w:szCs w:val="20"/>
        </w:rPr>
        <w:t>Is</w:t>
      </w:r>
      <w:r w:rsidRPr="007078D3">
        <w:rPr>
          <w:rFonts w:ascii="Times New Roman" w:hAnsi="Times New Roman" w:cs="Times New Roman"/>
          <w:color w:val="000000"/>
          <w:szCs w:val="20"/>
        </w:rPr>
        <w:t> i/lub wtórnego modułu odkształcenia E</w:t>
      </w:r>
      <w:r w:rsidRPr="007078D3">
        <w:rPr>
          <w:rFonts w:ascii="Times New Roman" w:hAnsi="Times New Roman" w:cs="Times New Roman"/>
          <w:color w:val="000000"/>
          <w:szCs w:val="20"/>
          <w:vertAlign w:val="subscript"/>
        </w:rPr>
        <w:t>2</w:t>
      </w:r>
      <w:r w:rsidRPr="007078D3">
        <w:rPr>
          <w:rFonts w:ascii="Times New Roman" w:hAnsi="Times New Roman" w:cs="Times New Roman"/>
          <w:color w:val="000000"/>
          <w:szCs w:val="20"/>
        </w:rPr>
        <w:t>. Uwzględniając zróżnicowanie konstrukcyjne urządzeń pomiarowych, określanych jako lekka płyta dynamiczna (LPD) w kontroli warstwy należy stosować jeden typ urządzenia. W przypadku stosowania płyt LPD o różnych konstrukcjach korelację należy ustalić dla każdego typu urządzenia.</w:t>
      </w:r>
    </w:p>
    <w:p w:rsidR="0034055A" w:rsidRPr="007078D3" w:rsidRDefault="0034055A" w:rsidP="00ED04E8">
      <w:pPr>
        <w:ind w:left="709" w:hanging="709"/>
        <w:rPr>
          <w:rFonts w:ascii="Times New Roman" w:hAnsi="Times New Roman" w:cs="Times New Roman"/>
          <w:color w:val="000000"/>
          <w:szCs w:val="20"/>
        </w:rPr>
      </w:pPr>
      <w:r w:rsidRPr="007078D3">
        <w:rPr>
          <w:rFonts w:ascii="Times New Roman" w:hAnsi="Times New Roman" w:cs="Times New Roman"/>
          <w:b/>
          <w:bCs/>
          <w:color w:val="000000"/>
          <w:szCs w:val="20"/>
        </w:rPr>
        <w:t>5.9.3.</w:t>
      </w:r>
      <w:r w:rsidRPr="007078D3">
        <w:rPr>
          <w:rFonts w:ascii="Times New Roman" w:hAnsi="Times New Roman" w:cs="Times New Roman"/>
          <w:color w:val="000000"/>
          <w:szCs w:val="20"/>
        </w:rPr>
        <w:t>   Pośrednie oznaczanie wskaźnika zagęszczenia na podstawie stopnia zagęszczenia określonego w badaniu sondą dynamiczną</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Po akceptacji Inżyniera, do dodatkowej kontroli zagęszczenia nasypów wykonanych z gruntów </w:t>
      </w:r>
      <w:r w:rsidRPr="007078D3">
        <w:rPr>
          <w:rStyle w:val="spelle"/>
          <w:rFonts w:ascii="Times New Roman" w:hAnsi="Times New Roman" w:cs="Times New Roman"/>
          <w:color w:val="000000"/>
          <w:szCs w:val="20"/>
        </w:rPr>
        <w:t>nieplastycznych</w:t>
      </w:r>
      <w:r w:rsidRPr="007078D3">
        <w:rPr>
          <w:rFonts w:ascii="Times New Roman" w:hAnsi="Times New Roman" w:cs="Times New Roman"/>
          <w:color w:val="000000"/>
          <w:szCs w:val="20"/>
        </w:rPr>
        <w:t> (niespoistych) można stosować sondy dynamiczne. Procedura wykonywania badania sondą dynamiczną zawarta jest w normie PN-B-04452 [21]. Orientacyjną wartość wskaźnika zagęszczenia </w:t>
      </w:r>
      <w:r w:rsidRPr="007078D3">
        <w:rPr>
          <w:rStyle w:val="spelle"/>
          <w:rFonts w:ascii="Times New Roman" w:hAnsi="Times New Roman" w:cs="Times New Roman"/>
          <w:color w:val="000000"/>
          <w:szCs w:val="20"/>
        </w:rPr>
        <w:t>I</w:t>
      </w:r>
      <w:r w:rsidRPr="007078D3">
        <w:rPr>
          <w:rStyle w:val="spelle"/>
          <w:rFonts w:ascii="Times New Roman" w:hAnsi="Times New Roman" w:cs="Times New Roman"/>
          <w:color w:val="000000"/>
          <w:szCs w:val="20"/>
          <w:vertAlign w:val="subscript"/>
        </w:rPr>
        <w:t>s</w:t>
      </w:r>
      <w:r w:rsidRPr="007078D3">
        <w:rPr>
          <w:rFonts w:ascii="Times New Roman" w:hAnsi="Times New Roman" w:cs="Times New Roman"/>
          <w:color w:val="000000"/>
          <w:szCs w:val="20"/>
        </w:rPr>
        <w:t> można określić na podstawie zależności korelacyjnej:</w:t>
      </w:r>
    </w:p>
    <w:p w:rsidR="0034055A" w:rsidRPr="007078D3" w:rsidRDefault="0034055A" w:rsidP="00ED04E8">
      <w:pPr>
        <w:jc w:val="center"/>
        <w:rPr>
          <w:rFonts w:ascii="Times New Roman" w:hAnsi="Times New Roman" w:cs="Times New Roman"/>
          <w:color w:val="000000"/>
          <w:szCs w:val="20"/>
        </w:rPr>
      </w:pPr>
      <w:r w:rsidRPr="007078D3">
        <w:rPr>
          <w:rFonts w:ascii="Cambria Math" w:hAnsi="Cambria Math" w:cs="Cambria Math"/>
          <w:color w:val="000000"/>
          <w:szCs w:val="20"/>
        </w:rPr>
        <w:t>𝐼</w:t>
      </w:r>
      <w:r w:rsidRPr="007078D3">
        <w:rPr>
          <w:rFonts w:ascii="Cambria Math" w:hAnsi="Cambria Math" w:cs="Cambria Math"/>
          <w:color w:val="000000"/>
          <w:szCs w:val="20"/>
          <w:vertAlign w:val="subscript"/>
        </w:rPr>
        <w:t>𝑆</w:t>
      </w:r>
      <w:r w:rsidRPr="007078D3">
        <w:rPr>
          <w:rFonts w:ascii="Times New Roman" w:hAnsi="Times New Roman" w:cs="Times New Roman"/>
          <w:color w:val="000000"/>
          <w:szCs w:val="20"/>
        </w:rPr>
        <w:t>=0,818/(0,958−0,174</w:t>
      </w:r>
      <w:r w:rsidRPr="007078D3">
        <w:rPr>
          <w:rFonts w:ascii="Cambria Math" w:hAnsi="Cambria Math" w:cs="Cambria Math"/>
          <w:color w:val="000000"/>
          <w:szCs w:val="20"/>
        </w:rPr>
        <w:t>𝐼</w:t>
      </w:r>
      <w:r w:rsidRPr="007078D3">
        <w:rPr>
          <w:rFonts w:ascii="Cambria Math" w:hAnsi="Cambria Math" w:cs="Cambria Math"/>
          <w:color w:val="000000"/>
          <w:szCs w:val="20"/>
          <w:vertAlign w:val="subscript"/>
        </w:rPr>
        <w:t>𝐷</w:t>
      </w:r>
      <w:r w:rsidRPr="007078D3">
        <w:rPr>
          <w:rFonts w:ascii="Times New Roman" w:hAnsi="Times New Roman" w:cs="Times New Roman"/>
          <w:color w:val="000000"/>
          <w:szCs w:val="20"/>
        </w:rPr>
        <w: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gdzie: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I</w:t>
      </w:r>
      <w:r w:rsidRPr="007078D3">
        <w:rPr>
          <w:rFonts w:ascii="Times New Roman" w:hAnsi="Times New Roman" w:cs="Times New Roman"/>
          <w:color w:val="000000"/>
          <w:szCs w:val="20"/>
          <w:vertAlign w:val="subscript"/>
        </w:rPr>
        <w:t>D - </w:t>
      </w:r>
      <w:r w:rsidRPr="007078D3">
        <w:rPr>
          <w:rFonts w:ascii="Times New Roman" w:hAnsi="Times New Roman" w:cs="Times New Roman"/>
          <w:color w:val="000000"/>
          <w:szCs w:val="20"/>
        </w:rPr>
        <w:t>stopień zagęszczenia gruntów niespoistych wyznaczony w oparciu o liczbę uderzeń młota (N</w:t>
      </w:r>
      <w:r w:rsidRPr="007078D3">
        <w:rPr>
          <w:rFonts w:ascii="Times New Roman" w:hAnsi="Times New Roman" w:cs="Times New Roman"/>
          <w:color w:val="000000"/>
          <w:szCs w:val="20"/>
          <w:vertAlign w:val="subscript"/>
        </w:rPr>
        <w:t>K</w:t>
      </w:r>
      <w:r w:rsidRPr="007078D3">
        <w:rPr>
          <w:rFonts w:ascii="Times New Roman" w:hAnsi="Times New Roman" w:cs="Times New Roman"/>
          <w:color w:val="000000"/>
          <w:szCs w:val="20"/>
        </w:rPr>
        <w:t>) potrzebną do zagłębienia końcówki o 0,1m (sondy DPL, DPM), 0,2m (DPSH) na podstawie wzorów: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DPL    I</w:t>
      </w:r>
      <w:r w:rsidRPr="007078D3">
        <w:rPr>
          <w:rFonts w:ascii="Times New Roman" w:hAnsi="Times New Roman" w:cs="Times New Roman"/>
          <w:color w:val="000000"/>
          <w:szCs w:val="20"/>
          <w:vertAlign w:val="subscript"/>
        </w:rPr>
        <w:t>D</w:t>
      </w:r>
      <w:r w:rsidRPr="007078D3">
        <w:rPr>
          <w:rFonts w:ascii="Times New Roman" w:hAnsi="Times New Roman" w:cs="Times New Roman"/>
          <w:color w:val="000000"/>
          <w:szCs w:val="20"/>
        </w:rPr>
        <w:t>= 0,071+0,429 log N</w:t>
      </w:r>
      <w:r w:rsidRPr="007078D3">
        <w:rPr>
          <w:rFonts w:ascii="Times New Roman" w:hAnsi="Times New Roman" w:cs="Times New Roman"/>
          <w:color w:val="000000"/>
          <w:szCs w:val="20"/>
          <w:vertAlign w:val="subscript"/>
        </w:rPr>
        <w:t>K</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DPM   I</w:t>
      </w:r>
      <w:r w:rsidRPr="007078D3">
        <w:rPr>
          <w:rFonts w:ascii="Times New Roman" w:hAnsi="Times New Roman" w:cs="Times New Roman"/>
          <w:color w:val="000000"/>
          <w:szCs w:val="20"/>
          <w:vertAlign w:val="subscript"/>
        </w:rPr>
        <w:t>D</w:t>
      </w:r>
      <w:r w:rsidRPr="007078D3">
        <w:rPr>
          <w:rFonts w:ascii="Times New Roman" w:hAnsi="Times New Roman" w:cs="Times New Roman"/>
          <w:color w:val="000000"/>
          <w:szCs w:val="20"/>
        </w:rPr>
        <w:t>= 0,176+0,431 log N</w:t>
      </w:r>
      <w:r w:rsidRPr="007078D3">
        <w:rPr>
          <w:rFonts w:ascii="Times New Roman" w:hAnsi="Times New Roman" w:cs="Times New Roman"/>
          <w:color w:val="000000"/>
          <w:szCs w:val="20"/>
          <w:vertAlign w:val="subscript"/>
        </w:rPr>
        <w:t>K</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DPH    I</w:t>
      </w:r>
      <w:r w:rsidRPr="007078D3">
        <w:rPr>
          <w:rFonts w:ascii="Times New Roman" w:hAnsi="Times New Roman" w:cs="Times New Roman"/>
          <w:color w:val="000000"/>
          <w:szCs w:val="20"/>
          <w:vertAlign w:val="subscript"/>
        </w:rPr>
        <w:t>D</w:t>
      </w:r>
      <w:r w:rsidRPr="007078D3">
        <w:rPr>
          <w:rFonts w:ascii="Times New Roman" w:hAnsi="Times New Roman" w:cs="Times New Roman"/>
          <w:color w:val="000000"/>
          <w:szCs w:val="20"/>
        </w:rPr>
        <w:t>= 0,271+0,441 log N</w:t>
      </w:r>
      <w:r w:rsidRPr="007078D3">
        <w:rPr>
          <w:rFonts w:ascii="Times New Roman" w:hAnsi="Times New Roman" w:cs="Times New Roman"/>
          <w:color w:val="000000"/>
          <w:szCs w:val="20"/>
          <w:vertAlign w:val="subscript"/>
        </w:rPr>
        <w:t>K</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DPSH I</w:t>
      </w:r>
      <w:r w:rsidRPr="007078D3">
        <w:rPr>
          <w:rFonts w:ascii="Times New Roman" w:hAnsi="Times New Roman" w:cs="Times New Roman"/>
          <w:color w:val="000000"/>
          <w:szCs w:val="20"/>
          <w:vertAlign w:val="subscript"/>
        </w:rPr>
        <w:t>D</w:t>
      </w:r>
      <w:r w:rsidRPr="007078D3">
        <w:rPr>
          <w:rFonts w:ascii="Times New Roman" w:hAnsi="Times New Roman" w:cs="Times New Roman"/>
          <w:color w:val="000000"/>
          <w:szCs w:val="20"/>
        </w:rPr>
        <w:t>= 0,196+0,441 log N</w:t>
      </w:r>
      <w:r w:rsidRPr="007078D3">
        <w:rPr>
          <w:rFonts w:ascii="Times New Roman" w:hAnsi="Times New Roman" w:cs="Times New Roman"/>
          <w:color w:val="000000"/>
          <w:szCs w:val="20"/>
          <w:vertAlign w:val="subscript"/>
        </w:rPr>
        <w:t>K</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Wyniki sondowania należy interpretować dopiero poniżej głębokości krytycznej (</w:t>
      </w:r>
      <w:r w:rsidRPr="007078D3">
        <w:rPr>
          <w:rStyle w:val="spelle"/>
          <w:rFonts w:ascii="Times New Roman" w:hAnsi="Times New Roman" w:cs="Times New Roman"/>
          <w:color w:val="000000"/>
          <w:szCs w:val="20"/>
        </w:rPr>
        <w:t>tc</w:t>
      </w:r>
      <w:r w:rsidRPr="007078D3">
        <w:rPr>
          <w:rFonts w:ascii="Times New Roman" w:hAnsi="Times New Roman" w:cs="Times New Roman"/>
          <w:color w:val="000000"/>
          <w:szCs w:val="20"/>
        </w:rPr>
        <w:t>) wynoszącej dla sondy DPL tc=0,6 m, dla sond DPM oraz DPH tc=1,0 m, dla sondy DPSH tc=1,5.</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5.10. Wymagania dotyczące nośności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Wartość wtórnego modułu odkształcenia należy kontrolować na powierzchni warstw, w odniesieniu do których określono wymóg dotyczący minimalnej wartości wtórnego modułu odkształcenia E</w:t>
      </w:r>
      <w:r w:rsidRPr="007078D3">
        <w:rPr>
          <w:rFonts w:ascii="Times New Roman" w:hAnsi="Times New Roman" w:cs="Times New Roman"/>
          <w:color w:val="000000"/>
          <w:szCs w:val="20"/>
          <w:vertAlign w:val="subscript"/>
        </w:rPr>
        <w:t>2</w:t>
      </w:r>
      <w:r w:rsidRPr="007078D3">
        <w:rPr>
          <w:rFonts w:ascii="Times New Roman" w:hAnsi="Times New Roman" w:cs="Times New Roman"/>
          <w:color w:val="000000"/>
          <w:szCs w:val="20"/>
        </w:rPr>
        <w:t>. Szczegółowe wymagania dotyczące wartości wtórnego modułu odkształcenia E</w:t>
      </w:r>
      <w:r w:rsidRPr="007078D3">
        <w:rPr>
          <w:rFonts w:ascii="Times New Roman" w:hAnsi="Times New Roman" w:cs="Times New Roman"/>
          <w:color w:val="000000"/>
          <w:szCs w:val="20"/>
          <w:vertAlign w:val="subscript"/>
        </w:rPr>
        <w:t>2 </w:t>
      </w:r>
      <w:r w:rsidRPr="007078D3">
        <w:rPr>
          <w:rFonts w:ascii="Times New Roman" w:hAnsi="Times New Roman" w:cs="Times New Roman"/>
          <w:color w:val="000000"/>
          <w:szCs w:val="20"/>
        </w:rPr>
        <w:t xml:space="preserve">w wykopach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D-02.01.01. Szczegółowe wymagania dotyczące wartości modułu odkształcenia E</w:t>
      </w:r>
      <w:r w:rsidRPr="007078D3">
        <w:rPr>
          <w:rFonts w:ascii="Times New Roman" w:hAnsi="Times New Roman" w:cs="Times New Roman"/>
          <w:color w:val="000000"/>
          <w:szCs w:val="20"/>
          <w:vertAlign w:val="subscript"/>
        </w:rPr>
        <w:t>2</w:t>
      </w:r>
      <w:r w:rsidRPr="007078D3">
        <w:rPr>
          <w:rFonts w:ascii="Times New Roman" w:hAnsi="Times New Roman" w:cs="Times New Roman"/>
          <w:color w:val="000000"/>
          <w:szCs w:val="20"/>
        </w:rPr>
        <w:t xml:space="preserve">w nasypach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D-02.03.01. Roboty ziemne należy wykonać w sposób zapewniający uzyskanie nośności podłoża gruntowego nawierzchni, określonej wartością wtórnego modułu odkształcenia E2, nie gorszej niż przyjęta w projekcie konstrukcji nawierzchni. Nie dopuszcza się redukcji grubości warstw konstrukcji nawierzchni w przypadku stwierdzenia większej wartości E2 niż przyjęta w projekcie konstrukcji nawierzchni.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Oznaczenie wtórnego modułu odkształcenia podłoża należy wykonać wg procedury zawartej w załączniku B do normy PN-S-2205 [6].</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Alternatywnie, z ograniczeniami jak w </w:t>
      </w:r>
      <w:r w:rsidRPr="007078D3">
        <w:rPr>
          <w:rStyle w:val="spelle"/>
          <w:rFonts w:ascii="Times New Roman" w:hAnsi="Times New Roman" w:cs="Times New Roman"/>
          <w:color w:val="000000"/>
          <w:szCs w:val="20"/>
        </w:rPr>
        <w:t>pkcie</w:t>
      </w:r>
      <w:r w:rsidRPr="007078D3">
        <w:rPr>
          <w:rFonts w:ascii="Times New Roman" w:hAnsi="Times New Roman" w:cs="Times New Roman"/>
          <w:color w:val="000000"/>
          <w:szCs w:val="20"/>
        </w:rPr>
        <w:t> 5.9.2.2,  dopuszcza się kontrolę i ocenę nośności na powierzchni warstwy gruntu/materiału na podstawie oznaczenia wartości modułu dynamicznego </w:t>
      </w:r>
      <w:r w:rsidRPr="007078D3">
        <w:rPr>
          <w:rStyle w:val="spelle"/>
          <w:rFonts w:ascii="Times New Roman" w:hAnsi="Times New Roman" w:cs="Times New Roman"/>
          <w:color w:val="000000"/>
          <w:szCs w:val="20"/>
        </w:rPr>
        <w:t>Evd</w:t>
      </w:r>
      <w:r w:rsidRPr="007078D3">
        <w:rPr>
          <w:rFonts w:ascii="Times New Roman" w:hAnsi="Times New Roman" w:cs="Times New Roman"/>
          <w:color w:val="000000"/>
          <w:szCs w:val="20"/>
        </w:rPr>
        <w:t> z zastosowaniem lekkiej płyty dynamicznej LPD.</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Dopuszczenie tej metody wymaga potwierdzenia na odcinku próbnym i akceptacji przez Inżyniera korelacji wartości wtórnego modułu odkształcenia E2, stanowiących kryterium akceptacji nośności, z wartościami modułu dynamicznego </w:t>
      </w:r>
      <w:r w:rsidRPr="007078D3">
        <w:rPr>
          <w:rStyle w:val="spelle"/>
          <w:rFonts w:ascii="Times New Roman" w:hAnsi="Times New Roman" w:cs="Times New Roman"/>
          <w:color w:val="000000"/>
          <w:szCs w:val="20"/>
        </w:rPr>
        <w:t>Evd</w:t>
      </w:r>
      <w:r w:rsidRPr="007078D3">
        <w:rPr>
          <w:rFonts w:ascii="Times New Roman" w:hAnsi="Times New Roman" w:cs="Times New Roman"/>
          <w:color w:val="000000"/>
          <w:szCs w:val="20"/>
        </w:rPr>
        <w:t> w odniesieniu do gruntów i materiałów stosowanych w konkretnym przypadku i określonych z zastosowaniem wybranego typu (konstrukcji) LPD. W przypadku stosowania płyty LPD należy uwzględnić właściwe dla tej metody ograniczenia w zakresie jej stosowalności.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Wartość modułu </w:t>
      </w:r>
      <w:r w:rsidRPr="007078D3">
        <w:rPr>
          <w:rStyle w:val="spelle"/>
          <w:rFonts w:ascii="Times New Roman" w:hAnsi="Times New Roman" w:cs="Times New Roman"/>
          <w:color w:val="000000"/>
          <w:szCs w:val="20"/>
        </w:rPr>
        <w:t>Evd</w:t>
      </w:r>
      <w:r w:rsidRPr="007078D3">
        <w:rPr>
          <w:rFonts w:ascii="Times New Roman" w:hAnsi="Times New Roman" w:cs="Times New Roman"/>
          <w:color w:val="000000"/>
          <w:szCs w:val="20"/>
        </w:rPr>
        <w:t> można uznać za miarodajną, jeżeli wilgotność gruntu/materiału warstwy w czasie badania nie jest niższa o więcej niż 2% w stosunku do wilgotności jaką miał on w czasie zagęszczania. Dopuszczenie badania z zastosowaniem LPD nie może kolidować z zapisami </w:t>
      </w:r>
      <w:r w:rsidRPr="007078D3">
        <w:rPr>
          <w:rStyle w:val="spelle"/>
          <w:rFonts w:ascii="Times New Roman" w:hAnsi="Times New Roman" w:cs="Times New Roman"/>
          <w:color w:val="000000"/>
          <w:szCs w:val="20"/>
        </w:rPr>
        <w:t>pktu</w:t>
      </w:r>
      <w:r w:rsidRPr="007078D3">
        <w:rPr>
          <w:rFonts w:ascii="Times New Roman" w:hAnsi="Times New Roman" w:cs="Times New Roman"/>
          <w:color w:val="000000"/>
          <w:szCs w:val="20"/>
        </w:rPr>
        <w:t xml:space="preserve"> 6  niniejszej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19" w:name="_Toc17407538"/>
      <w:bookmarkStart w:id="120" w:name="_Toc17408016"/>
      <w:bookmarkStart w:id="121" w:name="_Toc17407897"/>
      <w:bookmarkStart w:id="122" w:name="_Toc17407773"/>
      <w:bookmarkEnd w:id="119"/>
      <w:bookmarkEnd w:id="120"/>
      <w:bookmarkEnd w:id="121"/>
      <w:bookmarkEnd w:id="122"/>
      <w:r w:rsidRPr="007078D3">
        <w:rPr>
          <w:rFonts w:ascii="Times New Roman" w:hAnsi="Times New Roman"/>
          <w:color w:val="000000"/>
          <w:szCs w:val="20"/>
        </w:rPr>
        <w:t>5.11. Odkłady</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5.11.1. </w:t>
      </w:r>
      <w:r w:rsidRPr="007078D3">
        <w:rPr>
          <w:rFonts w:ascii="Times New Roman" w:hAnsi="Times New Roman" w:cs="Times New Roman"/>
          <w:color w:val="000000"/>
          <w:szCs w:val="20"/>
        </w:rPr>
        <w:t>Warunki ogólne wykonania odkładów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Roboty omówione w tym punkcie dotyczą postępowania z gruntami lub innymi materiałami, które zostały pozyskane w czasie wykonywania wykopów, a które nie będą wykorzystane do budowy nasypów oraz innych prac związanych z trasą drogową.</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Grunty lub inne materiały powinny być przewiezione na odkład, jeżeli:</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stanowią nadmiar objętości w stosunku do objętości gruntów przewidzianych do wbudowania,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są nieprzydatne do budowy nasypów oraz wykorzystania w innych pracach, związanych z budową trasy drogowej,</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c)    ze względu na harmonogram robót nie jest ekonomicznie uzasadnione oczekiwanie na wbudowanie materiałów pozyskiwanych z wykopu.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Wykonawca może przyjąć, że zachodzi jeden z podanych wyżej przypadków tylko wówczas, gdy zostało to jednoznacznie określone w dokumentacji projektowej, harmonogramie robót lub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5.11.2. </w:t>
      </w:r>
      <w:r w:rsidRPr="007078D3">
        <w:rPr>
          <w:rFonts w:ascii="Times New Roman" w:hAnsi="Times New Roman" w:cs="Times New Roman"/>
          <w:color w:val="000000"/>
          <w:szCs w:val="20"/>
        </w:rPr>
        <w:t>Lokalizacja odkładu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Jeżeli pozwalają na to właściwości materiałów przeznaczonych do przewiezienia na odkład, materiały te powinny być w razie możliwości wykorzystane do wyrównania terenu, zasypania dołów i sztucznych wyrobisk oraz do ewentualnego poszerzenia nasypów. Roboty te powinny być wykonane zgodnie z dokumentacją projektową i odpowiednimi zasadami, dotyczącymi wbudowania i zagęszczania gruntów oraz wskazówkami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Jeżeli nie przewidziano zagospodarowania nadmiaru objętości w sposób określony powyżej, materiały te należy przewieźć na odkład.</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Lokalizacja odkładu powinna być wskazana w dokumentacji projektowej lub przez Inżyniera. Jeżeli miejsce odkładu zostało wybrane przez Wykonawcę, musi być ono zaakceptowane przez Inżyniera. Niezależnie od tego, Wykonawca musi uzyskać zgodę właściciela terenu.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Jeżeli odkłady są zlokalizowane wzdłuż odcinka trasy przebiegającego w wykopie, to:</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odkłady można wykonać z obu stron wykopu, jeżeli pochylenie poprzeczne terenu jest niewielkie, przy czym odległość podnóża skarpy odkładu od górnej krawędzi wykopu powinna wynosić:</w:t>
      </w:r>
    </w:p>
    <w:p w:rsidR="0034055A" w:rsidRPr="007078D3" w:rsidRDefault="0034055A" w:rsidP="00ED04E8">
      <w:pPr>
        <w:ind w:left="992" w:hanging="283"/>
        <w:rPr>
          <w:rFonts w:ascii="Times New Roman" w:hAnsi="Times New Roman" w:cs="Times New Roman"/>
          <w:color w:val="000000"/>
          <w:szCs w:val="20"/>
        </w:rPr>
      </w:pPr>
      <w:r w:rsidRPr="007078D3">
        <w:rPr>
          <w:rFonts w:ascii="Times New Roman" w:hAnsi="Times New Roman" w:cs="Times New Roman"/>
          <w:color w:val="000000"/>
          <w:szCs w:val="20"/>
        </w:rPr>
        <w:t>-      nie mniej niż 3 m w gruntach przepuszczalnych,</w:t>
      </w:r>
    </w:p>
    <w:p w:rsidR="0034055A" w:rsidRPr="007078D3" w:rsidRDefault="0034055A" w:rsidP="00ED04E8">
      <w:pPr>
        <w:ind w:left="992" w:hanging="283"/>
        <w:rPr>
          <w:rFonts w:ascii="Times New Roman" w:hAnsi="Times New Roman" w:cs="Times New Roman"/>
          <w:color w:val="000000"/>
          <w:szCs w:val="20"/>
        </w:rPr>
      </w:pPr>
      <w:r w:rsidRPr="007078D3">
        <w:rPr>
          <w:rFonts w:ascii="Times New Roman" w:hAnsi="Times New Roman" w:cs="Times New Roman"/>
          <w:color w:val="000000"/>
          <w:szCs w:val="20"/>
        </w:rPr>
        <w:t>-      nie mniej niż 5 m w gruntach nieprzepuszczalnych,</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przy znacznym pochyleniu poprzecznym terenu, jednak mniejszym od 20%, odkład należy wykonać tylko od górnej strony wykopu, dla ochrony od wody stokowej,</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c)    przy pochyleniu poprzecznym terenu wynoszącym ponad 20%, odkład należy zlokalizować poniżej wykopu,</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d)   na odcinkach zagrożonych przez zasypywanie drogi śniegiem, odkład należy wykonać od strony najczęściej wiejących wiatrów, w odległości ponad 20 m od krawędzi wykopu.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Jeśli odkład zostanie wykonany w nieuzgodnionym miejscu lub niezgodnie z wymaganiami, to zostanie on usunięty przez Wykonawcę na jego koszt, według wskazań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Konsekwencje finansowe i prawne, wynikające z ewentualnych uszkodzeń środowiska naturalnego wskutek prowadzenia prac w nie uzgodnionym do tego miejscu, obciążają Wykonawcę.</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5.11.3. </w:t>
      </w:r>
      <w:r w:rsidRPr="007078D3">
        <w:rPr>
          <w:rFonts w:ascii="Times New Roman" w:hAnsi="Times New Roman" w:cs="Times New Roman"/>
          <w:color w:val="000000"/>
          <w:szCs w:val="20"/>
        </w:rPr>
        <w:t>Zasady wykonania odkładów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Wykonanie odkładów, a w szczególności ich wysokość, pochylenie, zagęszczenie oraz odwodnienie powinny być zgodne z wymaganiami podanymi w dokumentacji projektowej lub ST. Jeżeli nie określono inaczej, należy przestrzegać ustaleń podanych </w:t>
      </w:r>
      <w:r w:rsidRPr="007078D3">
        <w:rPr>
          <w:rFonts w:ascii="Times New Roman" w:hAnsi="Times New Roman" w:cs="Times New Roman"/>
          <w:color w:val="000000"/>
          <w:szCs w:val="20"/>
        </w:rPr>
        <w:lastRenderedPageBreak/>
        <w:t>w normie PN-S-02205:1998 [6], to znaczy odkład powinien być uformowany w pryzmę o wysokości do 1,5 m, pochyleniu skarp od 1do 1,5 i spadku korony od 2% do 5%.</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Odkłady powinny być tak ukształtowane, aby harmonizowały z otaczającym terenem. Powierzchnie odkładów powinny być obsiane trawą, obsadzone krzewami lub drzewami albo przeznaczone na użytki rolne lub leśne, zgodnie z dokumentacją projektową.</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Odspajanie materiału przewidzianego do przewiezienia na odkład powinno być przerwane, o ile warunki atmosferyczne lub inne przyczyny uniemożliwiają jego wbudowanie zgodnie z wymaganiami sformułowanymi w tym zakresie w dokumentacji projektowej, ST lub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Przed przewiezieniem gruntu na odkład Wykonawca powinien upewnić się, że spełnione są warunki określone w </w:t>
      </w:r>
      <w:r w:rsidRPr="007078D3">
        <w:rPr>
          <w:rStyle w:val="spelle"/>
          <w:rFonts w:ascii="Times New Roman" w:hAnsi="Times New Roman" w:cs="Times New Roman"/>
          <w:color w:val="000000"/>
          <w:szCs w:val="20"/>
        </w:rPr>
        <w:t>pkcie</w:t>
      </w:r>
      <w:r w:rsidRPr="007078D3">
        <w:rPr>
          <w:rFonts w:ascii="Times New Roman" w:hAnsi="Times New Roman" w:cs="Times New Roman"/>
          <w:color w:val="000000"/>
          <w:szCs w:val="20"/>
        </w:rPr>
        <w:t> 5.11.1. Jeżeli wskutek pochopnego przewiezienia gruntu na odkład przez Wykonawcę, zajdzie konieczność dowiezienia gruntu do wykonania nasypów z ukopu, to koszt tych czynności w całości obciąża Wykonawcę.</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3" w:name="_6._Kontrola_jakości"/>
      <w:bookmarkEnd w:id="123"/>
      <w:r w:rsidRPr="007078D3">
        <w:rPr>
          <w:rFonts w:ascii="Times New Roman" w:hAnsi="Times New Roman"/>
          <w:caps/>
          <w:color w:val="000000"/>
          <w:szCs w:val="20"/>
        </w:rPr>
        <w:t>6. KONTROLA JAKOŚCI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24" w:name="_Toc405615053"/>
      <w:bookmarkStart w:id="125" w:name="_Toc407161201"/>
      <w:bookmarkEnd w:id="124"/>
      <w:bookmarkEnd w:id="125"/>
      <w:r w:rsidRPr="007078D3">
        <w:rPr>
          <w:rFonts w:ascii="Times New Roman" w:hAnsi="Times New Roman"/>
          <w:color w:val="000000"/>
          <w:szCs w:val="20"/>
        </w:rPr>
        <w:t>6.1. Ogólne zasady kontroli jakości robót</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Ogólne zasady kontroli jakości robót podano w </w:t>
      </w:r>
      <w:r w:rsidR="00985629">
        <w:rPr>
          <w:color w:val="000000"/>
          <w:sz w:val="20"/>
          <w:szCs w:val="20"/>
        </w:rPr>
        <w:t>SST</w:t>
      </w:r>
      <w:r w:rsidRPr="007078D3">
        <w:rPr>
          <w:color w:val="000000"/>
          <w:sz w:val="20"/>
          <w:szCs w:val="20"/>
        </w:rPr>
        <w:t xml:space="preserve"> D-M-00.00.00 „Wymagania ogólne” </w:t>
      </w:r>
      <w:r w:rsidRPr="007078D3">
        <w:rPr>
          <w:rStyle w:val="spelle"/>
          <w:color w:val="000000"/>
          <w:sz w:val="20"/>
          <w:szCs w:val="20"/>
        </w:rPr>
        <w:t>pkt</w:t>
      </w:r>
      <w:r w:rsidRPr="007078D3">
        <w:rPr>
          <w:color w:val="000000"/>
          <w:sz w:val="20"/>
          <w:szCs w:val="20"/>
        </w:rPr>
        <w:t> 6.</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Badania i pomiary dzielą się na:</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a) badania i pomiary Wykonawcy w ramach własnego nadzoru,</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b) badania i pomiary kontrolne w ramach nadzoru Zamawiającego,</w:t>
      </w:r>
    </w:p>
    <w:p w:rsidR="0034055A" w:rsidRPr="007078D3" w:rsidRDefault="0034055A" w:rsidP="00ED04E8">
      <w:pPr>
        <w:pStyle w:val="standardowytekst"/>
        <w:spacing w:before="0" w:beforeAutospacing="0" w:after="0" w:afterAutospacing="0"/>
        <w:ind w:left="240" w:firstLine="480"/>
        <w:rPr>
          <w:color w:val="000000"/>
          <w:sz w:val="20"/>
          <w:szCs w:val="20"/>
        </w:rPr>
      </w:pPr>
      <w:r w:rsidRPr="007078D3">
        <w:rPr>
          <w:color w:val="000000"/>
          <w:sz w:val="20"/>
          <w:szCs w:val="20"/>
        </w:rPr>
        <w:t>W przypadku badań kontrolnych, pobieraniem próbek, wykonaniem badań i pomiarów na miejscu budowy zajmuje się laboratorium wskazane przez Zamawiającego przy udziale lub po poinformowaniu przedstawicieli Wykonawcy.</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c) badania i pomiary kontrolne dodatkowe.  </w:t>
      </w:r>
    </w:p>
    <w:p w:rsidR="0034055A" w:rsidRPr="007078D3" w:rsidRDefault="0034055A" w:rsidP="00ED04E8">
      <w:pPr>
        <w:pStyle w:val="standardowytekst"/>
        <w:spacing w:before="0" w:beforeAutospacing="0" w:after="0" w:afterAutospacing="0"/>
        <w:ind w:left="360" w:firstLine="349"/>
        <w:rPr>
          <w:color w:val="000000"/>
          <w:sz w:val="20"/>
          <w:szCs w:val="20"/>
        </w:rPr>
      </w:pPr>
      <w:r w:rsidRPr="007078D3">
        <w:rPr>
          <w:color w:val="000000"/>
          <w:sz w:val="20"/>
          <w:szCs w:val="20"/>
        </w:rPr>
        <w:t>W wypadku uznania, że jeden z wyników badań lub pomiarów kontrolnych nie jest reprezentatywny dla ocenianego odcinka budowy, strony kontraktu mogą wystąpić o przeprowadzenie badań lub pomiarów kontrolnych dodatkowych. Badania kontrolne dodatkowe są wykonywane przez laboratorium Zamawiającego. Strony kontraktu decydują wspólnie o miejscach pobierania próbek i wyznaczeniu odcinków częściowych ocenianego odcinka budowy, tzn. dziennej działki roboczej. Jeżeli odcinek częściowy przyporządkowany do badań kontrolnych nie może być jednoznacznie i zgodnie wyznaczony, to odcinek ten nie powinien być mniejszy niż 20% ocenianego odcinka budowy,</w:t>
      </w:r>
    </w:p>
    <w:p w:rsidR="0034055A" w:rsidRPr="007078D3" w:rsidRDefault="0034055A" w:rsidP="00ED04E8">
      <w:pPr>
        <w:pStyle w:val="standardowytekst"/>
        <w:spacing w:before="0" w:beforeAutospacing="0" w:after="0" w:afterAutospacing="0"/>
        <w:ind w:left="360" w:hanging="360"/>
        <w:rPr>
          <w:color w:val="000000"/>
          <w:sz w:val="20"/>
          <w:szCs w:val="20"/>
        </w:rPr>
      </w:pPr>
      <w:r w:rsidRPr="007078D3">
        <w:rPr>
          <w:color w:val="000000"/>
          <w:sz w:val="20"/>
          <w:szCs w:val="20"/>
        </w:rPr>
        <w:t>d) badania arbitrażowe, stanowiące powtórzenie badań lub pomiarów kontrolnych i/lub kontrolnych dodatkowych na wniosek Inżyniera lub Wykonawcy, gdy mają oni uzasadnione wątpliwości co do wyników tych badań. Badania i pomiary arbitrażowe wykonuje bezstronne, akredytowane laboratorium, które nie wykonywało badań lub pomiarów kontrolnych, przy udziale lub po poinformowaniu przedstawicieli stron.</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6.2. Badania materiałów  </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6.2.1.</w:t>
      </w:r>
      <w:r w:rsidRPr="007078D3">
        <w:rPr>
          <w:color w:val="000000"/>
          <w:sz w:val="20"/>
          <w:szCs w:val="20"/>
        </w:rPr>
        <w:t> Badania gruntów i materiałów antropogenicznych</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 xml:space="preserve">Grunty z wykopów we wstępnej fazie powinny zostać zbadane makroskopowo i na tej podstawie, w oparciu od tabele 1 i 2 niniejszej </w:t>
      </w:r>
      <w:r w:rsidR="00985629">
        <w:rPr>
          <w:color w:val="000000"/>
          <w:sz w:val="20"/>
          <w:szCs w:val="20"/>
        </w:rPr>
        <w:t>SST</w:t>
      </w:r>
      <w:r w:rsidRPr="007078D3">
        <w:rPr>
          <w:color w:val="000000"/>
          <w:sz w:val="20"/>
          <w:szCs w:val="20"/>
        </w:rPr>
        <w:t xml:space="preserve"> D-02.00.01 należy je zakwalifikować na odkład lub do wykonania budowli ziemnych.</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 xml:space="preserve">Przeznaczenie gruntów lub materiałów antropogenicznych do dedykowanej warstwy nasypu powinno odbyć się na podstawie parametrów zbadanych metodami laboratoryjnymi wg </w:t>
      </w:r>
      <w:r w:rsidR="00985629">
        <w:rPr>
          <w:color w:val="000000"/>
          <w:sz w:val="20"/>
          <w:szCs w:val="20"/>
        </w:rPr>
        <w:t>SST</w:t>
      </w:r>
      <w:r w:rsidRPr="007078D3">
        <w:rPr>
          <w:color w:val="000000"/>
          <w:sz w:val="20"/>
          <w:szCs w:val="20"/>
        </w:rPr>
        <w:t xml:space="preserve"> D-02.03.01.pkt.6.3.2.</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Wykonawca przedstawi wyniki badań do akceptacji Inżynierowi.</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Inżynier wykonuje też  badania kontrolne materiałów gruntowych.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6.2.2.</w:t>
      </w:r>
      <w:r w:rsidRPr="007078D3">
        <w:rPr>
          <w:rFonts w:ascii="Times New Roman" w:hAnsi="Times New Roman" w:cs="Times New Roman"/>
          <w:color w:val="000000"/>
          <w:szCs w:val="20"/>
        </w:rPr>
        <w:t> Badania pozostałych materiałów</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W przypadku stosowania </w:t>
      </w:r>
      <w:r w:rsidRPr="007078D3">
        <w:rPr>
          <w:rStyle w:val="spelle"/>
          <w:color w:val="000000"/>
          <w:sz w:val="20"/>
          <w:szCs w:val="20"/>
        </w:rPr>
        <w:t>geosyntetyków</w:t>
      </w:r>
      <w:r w:rsidRPr="007078D3">
        <w:rPr>
          <w:color w:val="000000"/>
          <w:sz w:val="20"/>
          <w:szCs w:val="20"/>
        </w:rPr>
        <w:t> i wszelkich innych materiałów, dla których wymagane jest przedstawienie dokumentów dopuszczenia do stosowania zgodnie z ustawą o wyrobach budowlanych [24],  Wykonawca przedstawi odpowiednie dokumenty (deklarację właściwości użytkowych), a także, w przypadku gdy jest to wymagane w dokumentacji projektowej, wyniki badań producenta lub własne potwierdzające zgodność materiału z wymaganiami dokumentacji projektowej lub ST.      </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6.3. Badania i pomiary w trakcie realizacji robót ziemnych</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 xml:space="preserve">W trakcie prowadzenia robót należy sprawdzać na bieżąco odwodnienie korpusu drogowego. Sprawdzanie polega na kontroli zgodności z wymaganiami określonymi w punkcie 5.9  niniejszej </w:t>
      </w:r>
      <w:r w:rsidR="00985629">
        <w:rPr>
          <w:color w:val="000000"/>
          <w:sz w:val="20"/>
          <w:szCs w:val="20"/>
        </w:rPr>
        <w:t>SST</w:t>
      </w:r>
      <w:r w:rsidRPr="007078D3">
        <w:rPr>
          <w:color w:val="000000"/>
          <w:sz w:val="20"/>
          <w:szCs w:val="20"/>
        </w:rPr>
        <w:t xml:space="preserve"> oraz z dokumentacją projektową i projektem odwodnienia.</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Szczególną uwagę należy zwrócić na:</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właściwe ujęcie i odprowadzenie wód opadowych,</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właściwe ujęcie i odprowadzenie wysięków wodnych,</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właściwe prowadzenie prac, aby nie powodować nawadniania gruntów w wykopie lub w nasypie.           </w:t>
      </w:r>
    </w:p>
    <w:p w:rsidR="0034055A" w:rsidRPr="007078D3" w:rsidRDefault="0034055A" w:rsidP="00ED04E8">
      <w:pPr>
        <w:pStyle w:val="standardowytekst"/>
        <w:spacing w:before="0" w:beforeAutospacing="0" w:after="0" w:afterAutospacing="0"/>
        <w:ind w:firstLine="720"/>
        <w:rPr>
          <w:color w:val="000000"/>
          <w:sz w:val="20"/>
          <w:szCs w:val="20"/>
        </w:rPr>
      </w:pPr>
      <w:r w:rsidRPr="007078D3">
        <w:rPr>
          <w:color w:val="000000"/>
          <w:sz w:val="20"/>
          <w:szCs w:val="20"/>
        </w:rPr>
        <w:t>Czynności wchodzące w zakres sprawdzenia jakości wykonania robót określono w </w:t>
      </w:r>
      <w:r w:rsidRPr="007078D3">
        <w:rPr>
          <w:rStyle w:val="spelle"/>
          <w:color w:val="000000"/>
          <w:sz w:val="20"/>
          <w:szCs w:val="20"/>
        </w:rPr>
        <w:t>pkcie</w:t>
      </w:r>
      <w:r w:rsidRPr="007078D3">
        <w:rPr>
          <w:color w:val="000000"/>
          <w:sz w:val="20"/>
          <w:szCs w:val="20"/>
        </w:rPr>
        <w:t xml:space="preserve"> 6 </w:t>
      </w:r>
      <w:r w:rsidR="00985629">
        <w:rPr>
          <w:color w:val="000000"/>
          <w:sz w:val="20"/>
          <w:szCs w:val="20"/>
        </w:rPr>
        <w:t>SST</w:t>
      </w:r>
      <w:r w:rsidRPr="007078D3">
        <w:rPr>
          <w:color w:val="000000"/>
          <w:sz w:val="20"/>
          <w:szCs w:val="20"/>
        </w:rPr>
        <w:t xml:space="preserve"> D-02.01.01, D-02.02.01 oraz D-02.03.01.</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26" w:name="_Toc405615055"/>
      <w:bookmarkStart w:id="127" w:name="_Toc407161203"/>
      <w:bookmarkEnd w:id="126"/>
      <w:bookmarkEnd w:id="127"/>
      <w:r w:rsidRPr="007078D3">
        <w:rPr>
          <w:rFonts w:ascii="Times New Roman" w:hAnsi="Times New Roman"/>
          <w:color w:val="000000"/>
          <w:szCs w:val="20"/>
        </w:rPr>
        <w:t>6.4. Badania do odbioru korpusu ziemnego</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W zakres badań w czasie odbioru budowli ziemnej wchodzi sprawdzenie technicznych dokumentów kontrolnych, cech geometrycznych budowli ziemnej, zagęszczenia, nośności oraz odwodnienia. Ponadto należy sprawdzić wykonanie i umocnienie skarp, na podstawie wymagań odrębnej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6.4.1. </w:t>
      </w:r>
      <w:r w:rsidRPr="007078D3">
        <w:rPr>
          <w:color w:val="000000"/>
          <w:sz w:val="20"/>
          <w:szCs w:val="20"/>
        </w:rPr>
        <w:t>Badania i pomiary cech geometrycznych wykonanej budowli ziemnej</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Częstotliwość oraz zakres badań i pomiarów do odbioru korpusu ziemnego podaje tabela 5.</w:t>
      </w:r>
    </w:p>
    <w:p w:rsidR="0034055A" w:rsidRPr="007078D3" w:rsidRDefault="0034055A" w:rsidP="00ED04E8">
      <w:pPr>
        <w:pStyle w:val="Legenda"/>
        <w:spacing w:before="0" w:beforeAutospacing="0" w:after="0" w:afterAutospacing="0"/>
        <w:jc w:val="both"/>
        <w:rPr>
          <w:color w:val="000000"/>
          <w:sz w:val="20"/>
          <w:szCs w:val="20"/>
        </w:rPr>
      </w:pPr>
      <w:bookmarkStart w:id="128" w:name="_Toc24581328"/>
      <w:r w:rsidRPr="007078D3">
        <w:rPr>
          <w:color w:val="000000"/>
          <w:sz w:val="20"/>
          <w:szCs w:val="20"/>
        </w:rPr>
        <w:t>Tabela </w:t>
      </w:r>
      <w:bookmarkEnd w:id="128"/>
      <w:r w:rsidRPr="007078D3">
        <w:rPr>
          <w:color w:val="000000"/>
          <w:sz w:val="20"/>
          <w:szCs w:val="20"/>
        </w:rPr>
        <w:t>5. Częstotliwość oraz zakres badań i pomiarów wykonanych robót ziemnych</w:t>
      </w:r>
    </w:p>
    <w:tbl>
      <w:tblPr>
        <w:tblW w:w="0" w:type="auto"/>
        <w:shd w:val="clear" w:color="auto" w:fill="EAEAEA"/>
        <w:tblCellMar>
          <w:left w:w="0" w:type="dxa"/>
          <w:right w:w="0" w:type="dxa"/>
        </w:tblCellMar>
        <w:tblLook w:val="04A0"/>
      </w:tblPr>
      <w:tblGrid>
        <w:gridCol w:w="539"/>
        <w:gridCol w:w="1985"/>
        <w:gridCol w:w="3680"/>
        <w:gridCol w:w="1984"/>
      </w:tblGrid>
      <w:tr w:rsidR="0034055A" w:rsidRPr="007078D3" w:rsidTr="0034055A">
        <w:tc>
          <w:tcPr>
            <w:tcW w:w="539" w:type="dxa"/>
            <w:tcBorders>
              <w:top w:val="single" w:sz="8" w:space="0" w:color="auto"/>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Lp.</w:t>
            </w:r>
          </w:p>
        </w:tc>
        <w:tc>
          <w:tcPr>
            <w:tcW w:w="1985" w:type="dxa"/>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Badana cecha</w:t>
            </w:r>
          </w:p>
        </w:tc>
        <w:tc>
          <w:tcPr>
            <w:tcW w:w="3680" w:type="dxa"/>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Minimalna częstotliwość badań i pomiarów</w:t>
            </w:r>
          </w:p>
        </w:tc>
        <w:tc>
          <w:tcPr>
            <w:tcW w:w="1984" w:type="dxa"/>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xml:space="preserve">Tolerancje wykonania </w:t>
            </w:r>
            <w:r w:rsidRPr="007078D3">
              <w:rPr>
                <w:sz w:val="18"/>
                <w:szCs w:val="18"/>
              </w:rPr>
              <w:lastRenderedPageBreak/>
              <w:t>robót</w:t>
            </w:r>
          </w:p>
        </w:tc>
      </w:tr>
      <w:tr w:rsidR="0034055A" w:rsidRPr="007078D3" w:rsidTr="0034055A">
        <w:tc>
          <w:tcPr>
            <w:tcW w:w="53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lastRenderedPageBreak/>
              <w:t>1</w:t>
            </w:r>
          </w:p>
        </w:tc>
        <w:tc>
          <w:tcPr>
            <w:tcW w:w="1985"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Szerokość korpusu drogowego</w:t>
            </w:r>
          </w:p>
        </w:tc>
        <w:tc>
          <w:tcPr>
            <w:tcW w:w="3680" w:type="dxa"/>
            <w:vMerge w:val="restart"/>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Pomiar taśmą, szablonem, łatą o długości 3 m i poziomicą lub niwelatorem, w odstępach co 200 m na prostych, w punktach głównych łuku, co 100 m na łukach o R ³100 m co 50 m na łukach o R &lt;100 m oraz w miejscach, które budzą wątpliwości</w:t>
            </w:r>
          </w:p>
        </w:tc>
        <w:tc>
          <w:tcPr>
            <w:tcW w:w="198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≤+5 cm</w:t>
            </w:r>
          </w:p>
        </w:tc>
      </w:tr>
      <w:tr w:rsidR="0034055A" w:rsidRPr="007078D3" w:rsidTr="0034055A">
        <w:tc>
          <w:tcPr>
            <w:tcW w:w="53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2</w:t>
            </w:r>
          </w:p>
        </w:tc>
        <w:tc>
          <w:tcPr>
            <w:tcW w:w="1985"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Odchylenie osi korpusu ziemnego</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198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≤+5 cm</w:t>
            </w:r>
          </w:p>
        </w:tc>
      </w:tr>
      <w:tr w:rsidR="0034055A" w:rsidRPr="007078D3" w:rsidTr="0034055A">
        <w:tc>
          <w:tcPr>
            <w:tcW w:w="53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3</w:t>
            </w:r>
          </w:p>
        </w:tc>
        <w:tc>
          <w:tcPr>
            <w:tcW w:w="1985"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Szerokość dna rowów</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198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≤+5 cm</w:t>
            </w:r>
          </w:p>
        </w:tc>
      </w:tr>
      <w:tr w:rsidR="0034055A" w:rsidRPr="007078D3" w:rsidTr="0034055A">
        <w:tc>
          <w:tcPr>
            <w:tcW w:w="53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4</w:t>
            </w:r>
          </w:p>
        </w:tc>
        <w:tc>
          <w:tcPr>
            <w:tcW w:w="1985"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Rzędne powierzchni korpusu drogowego</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198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Nie więcej niż   3 cm lub +1 cm</w:t>
            </w:r>
          </w:p>
        </w:tc>
      </w:tr>
      <w:tr w:rsidR="0034055A" w:rsidRPr="007078D3" w:rsidTr="0034055A">
        <w:tc>
          <w:tcPr>
            <w:tcW w:w="53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5</w:t>
            </w:r>
          </w:p>
        </w:tc>
        <w:tc>
          <w:tcPr>
            <w:tcW w:w="1985"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Pochylenie skarp</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198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≤10% wartości pochylenia</w:t>
            </w:r>
          </w:p>
        </w:tc>
      </w:tr>
      <w:tr w:rsidR="0034055A" w:rsidRPr="007078D3" w:rsidTr="0034055A">
        <w:tc>
          <w:tcPr>
            <w:tcW w:w="53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6</w:t>
            </w:r>
          </w:p>
        </w:tc>
        <w:tc>
          <w:tcPr>
            <w:tcW w:w="1985"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Równość górnej powierzchni korpusu drogowego</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198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3 cm</w:t>
            </w:r>
          </w:p>
        </w:tc>
      </w:tr>
      <w:tr w:rsidR="0034055A" w:rsidRPr="007078D3" w:rsidTr="0034055A">
        <w:tc>
          <w:tcPr>
            <w:tcW w:w="53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7</w:t>
            </w:r>
          </w:p>
        </w:tc>
        <w:tc>
          <w:tcPr>
            <w:tcW w:w="1985"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Równość skarp</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198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±10cm</w:t>
            </w:r>
          </w:p>
        </w:tc>
      </w:tr>
      <w:tr w:rsidR="0034055A" w:rsidRPr="007078D3" w:rsidTr="0034055A">
        <w:tc>
          <w:tcPr>
            <w:tcW w:w="53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8</w:t>
            </w:r>
          </w:p>
        </w:tc>
        <w:tc>
          <w:tcPr>
            <w:tcW w:w="1985"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Spadek podłużny powierzchni korpusu drogowego lub dna rowu</w:t>
            </w:r>
          </w:p>
        </w:tc>
        <w:tc>
          <w:tcPr>
            <w:tcW w:w="368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Pomiar niwelatorem rzędnych w odstępach co 100 m oraz w punktach wątpliwych</w:t>
            </w:r>
          </w:p>
        </w:tc>
        <w:tc>
          <w:tcPr>
            <w:tcW w:w="198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Nie więcej niż 3 cm lub +1 cm</w:t>
            </w:r>
          </w:p>
        </w:tc>
      </w:tr>
      <w:tr w:rsidR="0034055A" w:rsidRPr="007078D3" w:rsidTr="0034055A">
        <w:tc>
          <w:tcPr>
            <w:tcW w:w="53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9</w:t>
            </w:r>
          </w:p>
        </w:tc>
        <w:tc>
          <w:tcPr>
            <w:tcW w:w="1985"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Pochylenie poprzeczne górnej powierzchni korpusu drogowego</w:t>
            </w:r>
          </w:p>
        </w:tc>
        <w:tc>
          <w:tcPr>
            <w:tcW w:w="368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rPr>
                <w:sz w:val="18"/>
                <w:szCs w:val="18"/>
              </w:rPr>
            </w:pPr>
            <w:r w:rsidRPr="007078D3">
              <w:rPr>
                <w:sz w:val="18"/>
                <w:szCs w:val="18"/>
              </w:rPr>
              <w:t>Pomiar niwelatorem rzędnych w odstępach co 100 m oraz w punktach wątpliwych</w:t>
            </w:r>
          </w:p>
        </w:tc>
        <w:tc>
          <w:tcPr>
            <w:tcW w:w="198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pStyle w:val="standardowytekst"/>
              <w:spacing w:before="0" w:beforeAutospacing="0" w:after="0" w:afterAutospacing="0"/>
              <w:jc w:val="center"/>
              <w:rPr>
                <w:sz w:val="18"/>
                <w:szCs w:val="18"/>
              </w:rPr>
            </w:pPr>
            <w:r w:rsidRPr="007078D3">
              <w:rPr>
                <w:sz w:val="18"/>
                <w:szCs w:val="18"/>
              </w:rPr>
              <w:t>≤ ±0,5%</w:t>
            </w:r>
          </w:p>
        </w:tc>
      </w:tr>
    </w:tbl>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6.4.2. </w:t>
      </w:r>
      <w:r w:rsidRPr="007078D3">
        <w:rPr>
          <w:color w:val="000000"/>
          <w:sz w:val="20"/>
          <w:szCs w:val="20"/>
        </w:rPr>
        <w:t>Zagęszczenie gruntu</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Zagęszczenie materiału nasypowego, gruntu podłoża pod nasypem oraz podłoża gruntowego nawierzchni w wykopie określa się na podstawie wskaźnika zagęszczenia </w:t>
      </w:r>
      <w:r w:rsidRPr="007078D3">
        <w:rPr>
          <w:rStyle w:val="spelle"/>
          <w:color w:val="000000"/>
          <w:sz w:val="20"/>
          <w:szCs w:val="20"/>
        </w:rPr>
        <w:t>Is</w:t>
      </w:r>
      <w:r w:rsidRPr="007078D3">
        <w:rPr>
          <w:color w:val="000000"/>
          <w:sz w:val="20"/>
          <w:szCs w:val="20"/>
        </w:rPr>
        <w:t>.</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Badanie wskaźnika zagęszczenia należy przeprowadzić zgodnie z zasadami  określonymi w </w:t>
      </w:r>
      <w:r w:rsidRPr="007078D3">
        <w:rPr>
          <w:rStyle w:val="spelle"/>
          <w:color w:val="000000"/>
          <w:sz w:val="20"/>
          <w:szCs w:val="20"/>
        </w:rPr>
        <w:t>pkcie</w:t>
      </w:r>
      <w:r w:rsidRPr="007078D3">
        <w:rPr>
          <w:color w:val="000000"/>
          <w:sz w:val="20"/>
          <w:szCs w:val="20"/>
        </w:rPr>
        <w:t xml:space="preserve"> 5.9 niniejszej </w:t>
      </w:r>
      <w:r w:rsidR="00985629">
        <w:rPr>
          <w:color w:val="000000"/>
          <w:sz w:val="20"/>
          <w:szCs w:val="20"/>
        </w:rPr>
        <w:t>SST</w:t>
      </w:r>
      <w:r w:rsidRPr="007078D3">
        <w:rPr>
          <w:color w:val="000000"/>
          <w:sz w:val="20"/>
          <w:szCs w:val="20"/>
        </w:rPr>
        <w:t>. W raporcie z badań należy podać wskaźnik zagęszczenia oraz wilgotność badanego gruntu. Wykonawca do odbioru budowli ziemnej przedstawi wyniki badań wskaźnika zagęszczenia każdej warstwy. Częstotliwość badań wskaźnika zagęszczenia powinna być następująca:</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w wykopach i dla górnej warstwy nasypu – nie mniej niż 3 badania na każde 1000 m</w:t>
      </w:r>
      <w:r w:rsidRPr="007078D3">
        <w:rPr>
          <w:color w:val="000000"/>
          <w:sz w:val="20"/>
          <w:szCs w:val="20"/>
          <w:vertAlign w:val="superscript"/>
        </w:rPr>
        <w:t>2</w:t>
      </w:r>
      <w:r w:rsidRPr="007078D3">
        <w:rPr>
          <w:color w:val="000000"/>
          <w:sz w:val="20"/>
          <w:szCs w:val="20"/>
        </w:rPr>
        <w:t> powierzchni zagęszczonej warstwy, jednak co najmniej 3 badania na dziennej działce roboczej,</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dla pozostałych partii nasypu – nie mniej niż 3 badania na każde 2000 m</w:t>
      </w:r>
      <w:r w:rsidRPr="007078D3">
        <w:rPr>
          <w:color w:val="000000"/>
          <w:sz w:val="20"/>
          <w:szCs w:val="20"/>
          <w:vertAlign w:val="superscript"/>
        </w:rPr>
        <w:t>2 </w:t>
      </w:r>
      <w:r w:rsidRPr="007078D3">
        <w:rPr>
          <w:color w:val="000000"/>
          <w:sz w:val="20"/>
          <w:szCs w:val="20"/>
        </w:rPr>
        <w:t>powierzchni  zagęszczonej warstwy, jednak co najmniej 3 badania na dziennej działce roboczej.</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Ponadto badanie wskaźnika zagęszczenia należy wykonać w miejscach wątpliwych wskazanych przez Inżyniera. Należy ocenić zgodność wyników badania z wymaganiami ST. Jeżeli dopuszczono kontrolę zagęszczenia na podstawie wskaźnika odkształcenia </w:t>
      </w:r>
      <w:r w:rsidRPr="007078D3">
        <w:rPr>
          <w:rStyle w:val="spelle"/>
          <w:color w:val="000000"/>
          <w:sz w:val="20"/>
          <w:szCs w:val="20"/>
        </w:rPr>
        <w:t>Io</w:t>
      </w:r>
      <w:r w:rsidRPr="007078D3">
        <w:rPr>
          <w:color w:val="000000"/>
          <w:sz w:val="20"/>
          <w:szCs w:val="20"/>
        </w:rPr>
        <w:t>, to wymaga się aby częstotliwość badań była nie mniejsza niż określono powyżej  w odniesieniu do badania wskaźnika zagęszczenia </w:t>
      </w:r>
      <w:r w:rsidRPr="007078D3">
        <w:rPr>
          <w:rStyle w:val="spelle"/>
          <w:color w:val="000000"/>
          <w:sz w:val="20"/>
          <w:szCs w:val="20"/>
        </w:rPr>
        <w:t>Is</w:t>
      </w:r>
      <w:r w:rsidRPr="007078D3">
        <w:rPr>
          <w:color w:val="000000"/>
          <w:sz w:val="20"/>
          <w:szCs w:val="20"/>
        </w:rPr>
        <w:t>.</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6.4.3.</w:t>
      </w:r>
      <w:r w:rsidRPr="007078D3">
        <w:rPr>
          <w:color w:val="000000"/>
          <w:sz w:val="20"/>
          <w:szCs w:val="20"/>
        </w:rPr>
        <w:t> Nośność podłoża gruntowego</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Nośność należy badać na powierzchni warstw określonych w dokumentacji projektowej. Nośność określa się na podstawie wartości wtórnego modułu odkształcenia E</w:t>
      </w:r>
      <w:r w:rsidRPr="007078D3">
        <w:rPr>
          <w:color w:val="000000"/>
          <w:sz w:val="20"/>
          <w:szCs w:val="20"/>
          <w:vertAlign w:val="subscript"/>
        </w:rPr>
        <w:t>2</w:t>
      </w:r>
      <w:r w:rsidRPr="007078D3">
        <w:rPr>
          <w:color w:val="000000"/>
          <w:sz w:val="20"/>
          <w:szCs w:val="20"/>
        </w:rPr>
        <w:t>. Badanie modułu odkształcenia E</w:t>
      </w:r>
      <w:r w:rsidRPr="007078D3">
        <w:rPr>
          <w:color w:val="000000"/>
          <w:sz w:val="20"/>
          <w:szCs w:val="20"/>
          <w:vertAlign w:val="subscript"/>
        </w:rPr>
        <w:t>2</w:t>
      </w:r>
      <w:r w:rsidRPr="007078D3">
        <w:rPr>
          <w:color w:val="000000"/>
          <w:sz w:val="20"/>
          <w:szCs w:val="20"/>
        </w:rPr>
        <w:t> należy przeprowadzić zgodnie z zasadami określonymi w </w:t>
      </w:r>
      <w:r w:rsidRPr="007078D3">
        <w:rPr>
          <w:rStyle w:val="spelle"/>
          <w:color w:val="000000"/>
          <w:sz w:val="20"/>
          <w:szCs w:val="20"/>
        </w:rPr>
        <w:t>pkcie</w:t>
      </w:r>
      <w:r w:rsidRPr="007078D3">
        <w:rPr>
          <w:color w:val="000000"/>
          <w:sz w:val="20"/>
          <w:szCs w:val="20"/>
        </w:rPr>
        <w:t xml:space="preserve"> 5.10 niniejszej </w:t>
      </w:r>
      <w:r w:rsidR="00985629">
        <w:rPr>
          <w:color w:val="000000"/>
          <w:sz w:val="20"/>
          <w:szCs w:val="20"/>
        </w:rPr>
        <w:t>SST</w:t>
      </w:r>
      <w:r w:rsidRPr="007078D3">
        <w:rPr>
          <w:color w:val="000000"/>
          <w:sz w:val="20"/>
          <w:szCs w:val="20"/>
        </w:rPr>
        <w:t>. Wykonawca do odbioru budowli ziemnej przedstawi wyniki badań nośności podłoża pod nasypem oraz na powierzchni tych warstw, które zostały zakryte wyżej leżącymi warstwami do czasu przeprowadzenia odbioru budowli ziemnej. Nośność na powierzchni podłoża gruntowego nawierzchni może być określona przed lub podczas odbioru budowli ziemnej. Częstotliwość badań nośności powinna być następująca:</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nie mniej niż jeden raz na 1000 m</w:t>
      </w:r>
      <w:r w:rsidRPr="007078D3">
        <w:rPr>
          <w:color w:val="000000"/>
          <w:sz w:val="20"/>
          <w:szCs w:val="20"/>
          <w:vertAlign w:val="superscript"/>
        </w:rPr>
        <w:t>2</w:t>
      </w:r>
      <w:r w:rsidRPr="007078D3">
        <w:rPr>
          <w:color w:val="000000"/>
          <w:sz w:val="20"/>
          <w:szCs w:val="20"/>
        </w:rPr>
        <w:t> powierzchni w przypadku badania na powierzchni podłoża gruntowego nawierzchni,</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nie mniej niż jeden raz na 2000 m</w:t>
      </w:r>
      <w:r w:rsidRPr="007078D3">
        <w:rPr>
          <w:color w:val="000000"/>
          <w:sz w:val="20"/>
          <w:szCs w:val="20"/>
          <w:vertAlign w:val="superscript"/>
        </w:rPr>
        <w:t>2</w:t>
      </w:r>
      <w:r w:rsidRPr="007078D3">
        <w:rPr>
          <w:color w:val="000000"/>
          <w:sz w:val="20"/>
          <w:szCs w:val="20"/>
        </w:rPr>
        <w:t> powierzchni w pozostałych przypadkach,</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w miejscach wskazanych przez Inżyniera.</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 xml:space="preserve">Za zgodą Inżyniera dopuszcza się stosowanie innych metod do oceny nośności wykonanych warstw, po skorelowaniu tych metod z metodami określonymi w niniejszej </w:t>
      </w:r>
      <w:r w:rsidR="00985629">
        <w:rPr>
          <w:color w:val="000000"/>
          <w:sz w:val="20"/>
          <w:szCs w:val="20"/>
        </w:rPr>
        <w:t>SST</w:t>
      </w:r>
      <w:r w:rsidRPr="007078D3">
        <w:rPr>
          <w:color w:val="000000"/>
          <w:sz w:val="20"/>
          <w:szCs w:val="20"/>
        </w:rPr>
        <w:t>, dla warunków wynikających ze stosowanych w robotach ziemnych gruntów i materiałów antropogenicznych.</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6.5. Sprawdzenie wykonania ukopu, </w:t>
      </w:r>
      <w:r w:rsidRPr="007078D3">
        <w:rPr>
          <w:rStyle w:val="spelle"/>
          <w:rFonts w:ascii="Times New Roman" w:hAnsi="Times New Roman"/>
          <w:color w:val="000000"/>
          <w:szCs w:val="20"/>
        </w:rPr>
        <w:t>dokopu</w:t>
      </w:r>
      <w:r w:rsidRPr="007078D3">
        <w:rPr>
          <w:rFonts w:ascii="Times New Roman" w:hAnsi="Times New Roman"/>
          <w:color w:val="000000"/>
          <w:szCs w:val="20"/>
        </w:rPr>
        <w:t> i odkładu</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Sprawdzenie wykonania ukopu lub </w:t>
      </w:r>
      <w:r w:rsidRPr="007078D3">
        <w:rPr>
          <w:rStyle w:val="spelle"/>
          <w:color w:val="000000"/>
          <w:sz w:val="20"/>
          <w:szCs w:val="20"/>
        </w:rPr>
        <w:t>dokopu</w:t>
      </w:r>
      <w:r w:rsidRPr="007078D3">
        <w:rPr>
          <w:color w:val="000000"/>
          <w:sz w:val="20"/>
          <w:szCs w:val="20"/>
        </w:rPr>
        <w:t> polega na skontrolowaniu zgodności robót i wykonanego ukopu lub </w:t>
      </w:r>
      <w:r w:rsidRPr="007078D3">
        <w:rPr>
          <w:rStyle w:val="spelle"/>
          <w:color w:val="000000"/>
          <w:sz w:val="20"/>
          <w:szCs w:val="20"/>
        </w:rPr>
        <w:t>dokopu</w:t>
      </w:r>
      <w:r w:rsidRPr="007078D3">
        <w:rPr>
          <w:color w:val="000000"/>
          <w:sz w:val="20"/>
          <w:szCs w:val="20"/>
        </w:rPr>
        <w:t xml:space="preserve"> z wymaganiami sformułowanymi w dokumentacji projektowej i </w:t>
      </w:r>
      <w:r w:rsidR="00985629">
        <w:rPr>
          <w:color w:val="000000"/>
          <w:sz w:val="20"/>
          <w:szCs w:val="20"/>
        </w:rPr>
        <w:t>SST</w:t>
      </w:r>
      <w:r w:rsidRPr="007078D3">
        <w:rPr>
          <w:color w:val="000000"/>
          <w:sz w:val="20"/>
          <w:szCs w:val="20"/>
        </w:rPr>
        <w:t>. W trakcie kontroli należy zwrócić szczególną uwagę na sprawdzenie:</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zgodności i rodzaju gruntu z dokumentacją projektową,</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zachowania kształtu zboczy, zapewniającego ich stateczność,</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odwodnienia,</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zagospodarowania terenu po zakończeniu eksploatacji ukopu.</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 xml:space="preserve">Sprawdzenie wykonania odkładu polega na sprawdzeniu zgodności robót i wykonanego odkładu z wymaganiami sformułowanymi w dokumentacji projektowej i </w:t>
      </w:r>
      <w:r w:rsidR="00985629">
        <w:rPr>
          <w:color w:val="000000"/>
          <w:sz w:val="20"/>
          <w:szCs w:val="20"/>
        </w:rPr>
        <w:t>SST</w:t>
      </w:r>
      <w:r w:rsidRPr="007078D3">
        <w:rPr>
          <w:color w:val="000000"/>
          <w:sz w:val="20"/>
          <w:szCs w:val="20"/>
        </w:rPr>
        <w:t>. W trakcie kontroli należy zwrócić szczególną uwagę na:</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prawidłowe usytuowanie i kształt geometryczny odkładu,</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odpowiednie wbudowanie gruntu,</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odwodnienie,</w:t>
      </w:r>
    </w:p>
    <w:p w:rsidR="0034055A" w:rsidRPr="007078D3" w:rsidRDefault="0034055A" w:rsidP="00ED04E8">
      <w:pPr>
        <w:pStyle w:val="standardowytekst"/>
        <w:spacing w:before="0" w:beforeAutospacing="0" w:after="0" w:afterAutospacing="0"/>
        <w:ind w:left="454" w:hanging="397"/>
        <w:rPr>
          <w:color w:val="000000"/>
          <w:sz w:val="20"/>
          <w:szCs w:val="20"/>
        </w:rPr>
      </w:pPr>
      <w:r w:rsidRPr="007078D3">
        <w:rPr>
          <w:color w:val="000000"/>
          <w:sz w:val="20"/>
          <w:szCs w:val="20"/>
        </w:rPr>
        <w:t>–         właściwe zagospodarowanie odkładu.</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9" w:name="_Toc17408017"/>
      <w:bookmarkStart w:id="130" w:name="_Toc17407898"/>
      <w:bookmarkStart w:id="131" w:name="_Toc17407774"/>
      <w:bookmarkStart w:id="132" w:name="_Toc17407539"/>
      <w:bookmarkStart w:id="133" w:name="_7._Obmiar_robót"/>
      <w:bookmarkEnd w:id="129"/>
      <w:bookmarkEnd w:id="130"/>
      <w:bookmarkEnd w:id="131"/>
      <w:bookmarkEnd w:id="132"/>
      <w:bookmarkEnd w:id="133"/>
      <w:r w:rsidRPr="007078D3">
        <w:rPr>
          <w:rFonts w:ascii="Times New Roman" w:hAnsi="Times New Roman"/>
          <w:caps/>
          <w:color w:val="000000"/>
          <w:szCs w:val="20"/>
        </w:rPr>
        <w:lastRenderedPageBreak/>
        <w:t>7. OBMIAR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34" w:name="_Toc405615058"/>
      <w:bookmarkStart w:id="135" w:name="_Toc407161206"/>
      <w:bookmarkEnd w:id="134"/>
      <w:bookmarkEnd w:id="135"/>
      <w:r w:rsidRPr="007078D3">
        <w:rPr>
          <w:rFonts w:ascii="Times New Roman" w:hAnsi="Times New Roman"/>
          <w:color w:val="000000"/>
          <w:szCs w:val="20"/>
        </w:rPr>
        <w:t>7.1. Ogólne zasady obmiaru robót</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Ogólne zasady obmiaru robót podano w </w:t>
      </w:r>
      <w:r w:rsidR="00985629">
        <w:rPr>
          <w:color w:val="000000"/>
          <w:sz w:val="20"/>
          <w:szCs w:val="20"/>
        </w:rPr>
        <w:t>SST</w:t>
      </w:r>
      <w:r w:rsidRPr="007078D3">
        <w:rPr>
          <w:color w:val="000000"/>
          <w:sz w:val="20"/>
          <w:szCs w:val="20"/>
        </w:rPr>
        <w:t xml:space="preserve"> D-M-00.00.00 „Wymagania ogólne” </w:t>
      </w:r>
      <w:r w:rsidRPr="007078D3">
        <w:rPr>
          <w:rStyle w:val="spelle"/>
          <w:color w:val="000000"/>
          <w:sz w:val="20"/>
          <w:szCs w:val="20"/>
        </w:rPr>
        <w:t>pkt</w:t>
      </w:r>
      <w:r w:rsidRPr="007078D3">
        <w:rPr>
          <w:color w:val="000000"/>
          <w:sz w:val="20"/>
          <w:szCs w:val="20"/>
        </w:rPr>
        <w:t> 7.</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36" w:name="_Toc405615059"/>
      <w:bookmarkStart w:id="137" w:name="_Toc407161207"/>
      <w:bookmarkEnd w:id="136"/>
      <w:bookmarkEnd w:id="137"/>
      <w:r w:rsidRPr="007078D3">
        <w:rPr>
          <w:rFonts w:ascii="Times New Roman" w:hAnsi="Times New Roman"/>
          <w:color w:val="000000"/>
          <w:szCs w:val="20"/>
        </w:rPr>
        <w:t>7.2. Obmiar robót ziemnych</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Jednostką obmiarową jest m</w:t>
      </w:r>
      <w:r w:rsidRPr="007078D3">
        <w:rPr>
          <w:color w:val="000000"/>
          <w:sz w:val="20"/>
          <w:szCs w:val="20"/>
          <w:vertAlign w:val="superscript"/>
        </w:rPr>
        <w:t>3</w:t>
      </w:r>
      <w:r w:rsidRPr="007078D3">
        <w:rPr>
          <w:color w:val="000000"/>
          <w:sz w:val="20"/>
          <w:szCs w:val="20"/>
        </w:rPr>
        <w:t> (metr sześcienny) wykonanych robót ziemnych.</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38" w:name="_Toc17408018"/>
      <w:bookmarkStart w:id="139" w:name="_Toc17407899"/>
      <w:bookmarkStart w:id="140" w:name="_Toc17407775"/>
      <w:bookmarkStart w:id="141" w:name="_Toc17407540"/>
      <w:bookmarkStart w:id="142" w:name="_Toc419000096"/>
      <w:bookmarkStart w:id="143" w:name="_Toc418998851"/>
      <w:bookmarkStart w:id="144" w:name="_Toc418998495"/>
      <w:bookmarkStart w:id="145" w:name="_Toc418997085"/>
      <w:bookmarkStart w:id="146" w:name="_Toc418996698"/>
      <w:bookmarkStart w:id="147" w:name="_Toc418996329"/>
      <w:bookmarkStart w:id="148" w:name="_Toc407161208"/>
      <w:bookmarkStart w:id="149" w:name="_Toc405615060"/>
      <w:bookmarkStart w:id="150" w:name="_8._Odbiór_robót"/>
      <w:bookmarkEnd w:id="138"/>
      <w:bookmarkEnd w:id="139"/>
      <w:bookmarkEnd w:id="140"/>
      <w:bookmarkEnd w:id="141"/>
      <w:bookmarkEnd w:id="142"/>
      <w:bookmarkEnd w:id="143"/>
      <w:bookmarkEnd w:id="144"/>
      <w:bookmarkEnd w:id="145"/>
      <w:bookmarkEnd w:id="146"/>
      <w:bookmarkEnd w:id="147"/>
      <w:bookmarkEnd w:id="148"/>
      <w:bookmarkEnd w:id="149"/>
      <w:bookmarkEnd w:id="150"/>
      <w:r w:rsidRPr="007078D3">
        <w:rPr>
          <w:rFonts w:ascii="Times New Roman" w:hAnsi="Times New Roman"/>
          <w:caps/>
          <w:color w:val="000000"/>
          <w:szCs w:val="20"/>
        </w:rPr>
        <w:t>8. ODBIÓR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8.1. Ogólne zasady odbioru robót</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Ogólne zasady odbioru robót podano w </w:t>
      </w:r>
      <w:r w:rsidR="00985629">
        <w:rPr>
          <w:color w:val="000000"/>
          <w:sz w:val="20"/>
          <w:szCs w:val="20"/>
        </w:rPr>
        <w:t>SST</w:t>
      </w:r>
      <w:r w:rsidRPr="007078D3">
        <w:rPr>
          <w:color w:val="000000"/>
          <w:sz w:val="20"/>
          <w:szCs w:val="20"/>
        </w:rPr>
        <w:t xml:space="preserve"> D-M-00.00.00 „Wymagania ogólne” </w:t>
      </w:r>
      <w:r w:rsidRPr="007078D3">
        <w:rPr>
          <w:rStyle w:val="spelle"/>
          <w:color w:val="000000"/>
          <w:sz w:val="20"/>
          <w:szCs w:val="20"/>
        </w:rPr>
        <w:t>pkt</w:t>
      </w:r>
      <w:r w:rsidRPr="007078D3">
        <w:rPr>
          <w:color w:val="000000"/>
          <w:sz w:val="20"/>
          <w:szCs w:val="20"/>
        </w:rPr>
        <w:t> 8.</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Roboty ziemne uznaje się za wykonane zgodnie z dokumentacją projektową, ST i wymaganiami Inżyniera, jeżeli wszystkie pomiary i badania z zachowaniem tolerancji wg </w:t>
      </w:r>
      <w:r w:rsidRPr="007078D3">
        <w:rPr>
          <w:rStyle w:val="spelle"/>
          <w:color w:val="000000"/>
          <w:sz w:val="20"/>
          <w:szCs w:val="20"/>
        </w:rPr>
        <w:t>pktu</w:t>
      </w:r>
      <w:r w:rsidRPr="007078D3">
        <w:rPr>
          <w:color w:val="000000"/>
          <w:sz w:val="20"/>
          <w:szCs w:val="20"/>
        </w:rPr>
        <w:t> 6 dały wyniki pozytywne.</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Do odbioru ostatecznego uwzględniane są wyniki badań i pomiarów kontrolnych, badań i pomiarów kontrolnych dodatkowych oraz badań i pomiarów arbitrażowych do wyznaczonych odcinków częściowych.</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8.2. Odbiór robót zanikających lub ulegających zakryciu</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Odbiór tych robót powinien być zgodny z wymaganiami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oraz niniejszej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Gotowość danej części robót do odbioru zgłasza Wykonawca wpisem do dziennika budowy i jednoczesnym powiadomieniem Inżyniera. Odbiór będzie przeprowadzony niezwłocznie, nie później jednak niż w ciągu 3 dni od daty zgłoszenia wpisem do dziennika budowy i powiadomienia o tym fakcie Inżyniera. Jakość i ilość robót ulegających zakryciu ocenia Inżynier na podstawie dokumentów zawierających komplet wyników badań laboratoryjnych i w oparciu o przeprowadzone pomiary.</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8.3.Odbiór częściowy</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Odbiór częściowy polega na ocenie ilości i jakości wykonanych części robót. Odbioru częściowego robót dokonuje się wg zasad jak przy odbiorze ostatecznym robót. Odbioru robót dokonuje Inżynier.</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8.4. Odbiór ostateczny</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Roboty objęte niniejszą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podlegają odbiorowi na zasadzie robót zanikających i ulegających zakryciu, który jest dokonywany na podstawie wyników pomiarów, badań i oceny wizualnej.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 odbioru Wykonawca przedstawia wszystkie dokumenty z bieżącej kontroli jakości robót oraz dokumentację projektową z naniesionymi zmianami i uzupełnieniami dokonanymi w trakcie robót (dokumentację powykonawczą).</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Podstawą odbioru ostatecznego jest pisemne stwierdzenie przez Inżyniera w dzienniku budowy zakończenia wszystkich robót związanych z niniejszą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a także spełnienie wymagań określonych w dokumentacji projektowej i niniejszej </w:t>
      </w:r>
      <w:r w:rsidR="00985629">
        <w:rPr>
          <w:rFonts w:ascii="Times New Roman" w:hAnsi="Times New Roman" w:cs="Times New Roman"/>
          <w:color w:val="000000"/>
          <w:szCs w:val="20"/>
        </w:rPr>
        <w:t>SST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8.5. Zasady postępowania z wadliwie wykonanymi robotami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Jeżeli wystąpią wyniki negatywne dla materiałów i robót (nie spełniające wymagań określonych w ST), to Inżynier wydaje Wykonawcy polecenie przedstawienia programu naprawczego, chyba że na wniosek jednej ze stron kontraktu zostaną wykonane badania lub pomiary arbitrażowe (zgodnie z </w:t>
      </w:r>
      <w:r w:rsidRPr="007078D3">
        <w:rPr>
          <w:rStyle w:val="spelle"/>
          <w:rFonts w:ascii="Times New Roman" w:hAnsi="Times New Roman" w:cs="Times New Roman"/>
          <w:color w:val="000000"/>
          <w:szCs w:val="20"/>
        </w:rPr>
        <w:t>pktem</w:t>
      </w:r>
      <w:r w:rsidRPr="007078D3">
        <w:rPr>
          <w:rFonts w:ascii="Times New Roman" w:hAnsi="Times New Roman" w:cs="Times New Roman"/>
          <w:color w:val="000000"/>
          <w:szCs w:val="20"/>
        </w:rPr>
        <w:t xml:space="preserve"> 6 niniejszej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a ich wyniki będą pozytywne.</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Wykonawca w programie tym jest zobowiązany dokonać oceny wpływu na trwałość, przedstawić sposób naprawienia wady lub wnioskować o zredukowanie ceny kontraktowej. Na zastosowanie programu naprawczego wyraża zgodę Inżynier. W przypadku braku zgody Inżyniera na zastosowanie programu naprawczego, wszystkie materiały i roboty nie spełniające wymagań podanych w odpowiednich punktach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zostaną odrzucone. Wykonawca wymieni materiały na właściwe i wykona prawidłowo roboty na własny koszt. Jeżeli wymiana materiałów niespełniających wymagań lub wadliwie wykonane roboty spowodują szkodę w innych, prawidłowo wykonanych robotach, to również te roboty powinny być ponownie wykonane przez Wykonawcę na jego koszt.</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51" w:name="_Toc17408019"/>
      <w:bookmarkStart w:id="152" w:name="_Toc17407900"/>
      <w:bookmarkStart w:id="153" w:name="_Toc17407776"/>
      <w:bookmarkStart w:id="154" w:name="_Toc17407541"/>
      <w:bookmarkStart w:id="155" w:name="_Toc419000097"/>
      <w:bookmarkStart w:id="156" w:name="_Toc418998852"/>
      <w:bookmarkStart w:id="157" w:name="_Toc418998496"/>
      <w:bookmarkStart w:id="158" w:name="_Toc418997086"/>
      <w:bookmarkStart w:id="159" w:name="_Toc418996699"/>
      <w:bookmarkStart w:id="160" w:name="_Toc418996330"/>
      <w:bookmarkStart w:id="161" w:name="_Toc407161209"/>
      <w:bookmarkStart w:id="162" w:name="_Toc405615061"/>
      <w:bookmarkStart w:id="163" w:name="_9._Podstawa_płatności"/>
      <w:bookmarkEnd w:id="151"/>
      <w:bookmarkEnd w:id="152"/>
      <w:bookmarkEnd w:id="153"/>
      <w:bookmarkEnd w:id="154"/>
      <w:bookmarkEnd w:id="155"/>
      <w:bookmarkEnd w:id="156"/>
      <w:bookmarkEnd w:id="157"/>
      <w:bookmarkEnd w:id="158"/>
      <w:bookmarkEnd w:id="159"/>
      <w:bookmarkEnd w:id="160"/>
      <w:bookmarkEnd w:id="161"/>
      <w:bookmarkEnd w:id="162"/>
      <w:bookmarkEnd w:id="163"/>
      <w:r w:rsidRPr="007078D3">
        <w:rPr>
          <w:rFonts w:ascii="Times New Roman" w:hAnsi="Times New Roman"/>
          <w:caps/>
          <w:color w:val="000000"/>
          <w:szCs w:val="20"/>
        </w:rPr>
        <w:t>9. PODSTAWA PŁATNOŚCI</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Ogólne ustalenia dotyczące podstawy płatności podano w </w:t>
      </w:r>
      <w:r w:rsidR="00985629">
        <w:rPr>
          <w:color w:val="000000"/>
          <w:sz w:val="20"/>
          <w:szCs w:val="20"/>
        </w:rPr>
        <w:t>SST</w:t>
      </w:r>
      <w:r w:rsidRPr="007078D3">
        <w:rPr>
          <w:color w:val="000000"/>
          <w:sz w:val="20"/>
          <w:szCs w:val="20"/>
        </w:rPr>
        <w:t xml:space="preserve"> D-M-00.00.00 „Wymagania ogólne” </w:t>
      </w:r>
      <w:r w:rsidRPr="007078D3">
        <w:rPr>
          <w:rStyle w:val="spelle"/>
          <w:color w:val="000000"/>
          <w:sz w:val="20"/>
          <w:szCs w:val="20"/>
        </w:rPr>
        <w:t>pkt</w:t>
      </w:r>
      <w:r w:rsidRPr="007078D3">
        <w:rPr>
          <w:color w:val="000000"/>
          <w:sz w:val="20"/>
          <w:szCs w:val="20"/>
        </w:rPr>
        <w:t> 9.</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xml:space="preserve">            Zakres czynności objętych ceną jednostkową podano w </w:t>
      </w:r>
      <w:r w:rsidR="00985629">
        <w:rPr>
          <w:color w:val="000000"/>
          <w:sz w:val="20"/>
          <w:szCs w:val="20"/>
        </w:rPr>
        <w:t>SST</w:t>
      </w:r>
      <w:r w:rsidRPr="007078D3">
        <w:rPr>
          <w:color w:val="000000"/>
          <w:sz w:val="20"/>
          <w:szCs w:val="20"/>
        </w:rPr>
        <w:t xml:space="preserve"> D-02.01.01, D-02.02.01 oraz D-02.03.01 </w:t>
      </w:r>
      <w:r w:rsidRPr="007078D3">
        <w:rPr>
          <w:rStyle w:val="spelle"/>
          <w:color w:val="000000"/>
          <w:sz w:val="20"/>
          <w:szCs w:val="20"/>
        </w:rPr>
        <w:t>pkt</w:t>
      </w:r>
      <w:r w:rsidRPr="007078D3">
        <w:rPr>
          <w:color w:val="000000"/>
          <w:sz w:val="20"/>
          <w:szCs w:val="20"/>
        </w:rPr>
        <w:t> 9.</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64" w:name="_Toc17408020"/>
      <w:bookmarkStart w:id="165" w:name="_Toc17407901"/>
      <w:bookmarkStart w:id="166" w:name="_Toc17407777"/>
      <w:bookmarkStart w:id="167" w:name="_Toc17407542"/>
      <w:bookmarkStart w:id="168" w:name="_10._Przepisy_związane"/>
      <w:bookmarkEnd w:id="164"/>
      <w:bookmarkEnd w:id="165"/>
      <w:bookmarkEnd w:id="166"/>
      <w:bookmarkEnd w:id="167"/>
      <w:bookmarkEnd w:id="168"/>
      <w:r w:rsidRPr="007078D3">
        <w:rPr>
          <w:rFonts w:ascii="Times New Roman" w:hAnsi="Times New Roman"/>
          <w:caps/>
          <w:color w:val="000000"/>
          <w:szCs w:val="20"/>
        </w:rPr>
        <w:t>10. PRZEPISY ZWIĄZANE</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69" w:name="_Toc405615063"/>
      <w:bookmarkStart w:id="170" w:name="_Toc407161211"/>
      <w:bookmarkEnd w:id="169"/>
      <w:bookmarkEnd w:id="170"/>
      <w:r w:rsidRPr="007078D3">
        <w:rPr>
          <w:rFonts w:ascii="Times New Roman" w:hAnsi="Times New Roman"/>
          <w:color w:val="000000"/>
          <w:szCs w:val="20"/>
        </w:rPr>
        <w:t xml:space="preserve">10.1. </w:t>
      </w:r>
      <w:r w:rsidR="00985629">
        <w:rPr>
          <w:rFonts w:ascii="Times New Roman" w:hAnsi="Times New Roman"/>
          <w:color w:val="000000"/>
          <w:szCs w:val="20"/>
        </w:rPr>
        <w:t>SST</w:t>
      </w:r>
      <w:r w:rsidRPr="007078D3">
        <w:rPr>
          <w:rFonts w:ascii="Times New Roman" w:hAnsi="Times New Roman"/>
          <w:color w:val="000000"/>
          <w:szCs w:val="20"/>
        </w:rPr>
        <w:t xml:space="preserve"> (ogólne specyfikacje techniczne)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1.  D-M-00.00.00.                     Wymagania ogólne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2.  D-01.00.00                           Roboty przygotowawcze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3.  D-02.01.01                           Wykonanie wykopów w gruntach </w:t>
      </w:r>
      <w:r w:rsidRPr="007078D3">
        <w:rPr>
          <w:rStyle w:val="spelle"/>
          <w:rFonts w:ascii="Times New Roman" w:hAnsi="Times New Roman" w:cs="Times New Roman"/>
          <w:color w:val="000000"/>
          <w:szCs w:val="20"/>
        </w:rPr>
        <w:t>nieskalistych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4.  D-02.02.01                           Wykonanie wykopów w gruntach skalistych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5.  D-02.03.01                          Wykonanie nasypów          </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10.2. Normy</w:t>
      </w:r>
    </w:p>
    <w:tbl>
      <w:tblPr>
        <w:tblW w:w="10632" w:type="dxa"/>
        <w:shd w:val="clear" w:color="auto" w:fill="EAEAEA"/>
        <w:tblCellMar>
          <w:left w:w="0" w:type="dxa"/>
          <w:right w:w="0" w:type="dxa"/>
        </w:tblCellMar>
        <w:tblLook w:val="04A0"/>
      </w:tblPr>
      <w:tblGrid>
        <w:gridCol w:w="514"/>
        <w:gridCol w:w="2596"/>
        <w:gridCol w:w="7522"/>
      </w:tblGrid>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6.</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PN-S-02205:1998</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Drogi samochodowe. Roboty ziemne. Wymagania i badania</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7.</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PN-B-04481:1988</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Grunty budowlane. Badania próbek gruntów</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8.</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PN-EN-13251:2016</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rStyle w:val="spelle"/>
                <w:sz w:val="20"/>
                <w:szCs w:val="20"/>
              </w:rPr>
              <w:t>Geotekstylia</w:t>
            </w:r>
            <w:r w:rsidRPr="007078D3">
              <w:rPr>
                <w:sz w:val="20"/>
                <w:szCs w:val="20"/>
              </w:rPr>
              <w:t> i wyroby pokrewne - Właściwości wymagane w odniesieniu do wyrobów stosowanych w robotach  ziemnych, fundamentowaniu i konstrukcjach oporowych</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9.</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BN-64/8931-01</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Drogi samochodowe. Oznaczenie wskaźnika piaskowego</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10.</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PN-EN ISO 17892-4:2017</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Rozpoznanie i badania geotechniczne - Badania laboratoryjne gruntów - Część 4: Badanie uziarnienia gruntów</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11.</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BN-77/8931-12</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Oznaczenie wskaźnika zagęszczenia gruntu</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13.</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PN-EN 933-1:2012</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Badania geometrycznych właściwości kruszyw – Część 1: Oznaczanie składu ziarnowego - Metoda przesiewania</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14.</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PN-EN 933-8:2015</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 xml:space="preserve">Badania geometrycznych właściwości kruszyw - Część 8: Ocena zawartości drobnych </w:t>
            </w:r>
            <w:r w:rsidRPr="007078D3">
              <w:rPr>
                <w:sz w:val="20"/>
                <w:szCs w:val="20"/>
              </w:rPr>
              <w:lastRenderedPageBreak/>
              <w:t>cząstek - Badanie wskaźnika piaskowego</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lastRenderedPageBreak/>
              <w:t>15.</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PN-EN 13286-2:2010</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Mieszanki niezwiązane i związane hydraulicznie - Część 2: Metody badań laboratoryjnych gęstości na sucho i zawartości wody - Zagęszczanie metodą </w:t>
            </w:r>
            <w:r w:rsidRPr="007078D3">
              <w:rPr>
                <w:rStyle w:val="spelle"/>
                <w:sz w:val="20"/>
                <w:szCs w:val="20"/>
              </w:rPr>
              <w:t>Proctora</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16.</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PN-EN 1744-1:2013</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Badania chemicznych właściwości kruszyw - Część 1: Analiza chemiczna</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17.</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PN-EN ISO 17892-1:2015</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Rozpoznanie i badania geotechniczne - Badania laboratoryjne gruntów - Część 1: Oznaczanie wilgotności naturalnej</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18.</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PN-EN 1097-5:2008</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Badania mechanicznych i fizycznych właściwości kruszyw -- Część 5: Oznaczanie zawartości wody przez suszenie w suszarce z wentylacją</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19.</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PN-EN ISO</w:t>
            </w:r>
          </w:p>
          <w:p w:rsidR="0034055A" w:rsidRPr="007078D3" w:rsidRDefault="0034055A" w:rsidP="00ED04E8">
            <w:pPr>
              <w:pStyle w:val="standardowytekst"/>
              <w:spacing w:before="0" w:beforeAutospacing="0" w:after="0" w:afterAutospacing="0"/>
              <w:rPr>
                <w:sz w:val="20"/>
                <w:szCs w:val="20"/>
              </w:rPr>
            </w:pPr>
            <w:r w:rsidRPr="007078D3">
              <w:rPr>
                <w:sz w:val="20"/>
                <w:szCs w:val="20"/>
              </w:rPr>
              <w:t>17892-12:2018</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Rozpoznanie i badania geotechniczne - Badania laboratoryjne gruntów - Część 12: Oznaczanie granic płynności i plastyczności</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20.</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PN-B-04492:1955</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Grunty budowlane -- Badania właściwości fizycznych -- Oznaczanie wskaźnika wodoprzepuszczalności</w:t>
            </w:r>
          </w:p>
        </w:tc>
      </w:tr>
      <w:tr w:rsidR="0034055A" w:rsidRPr="007078D3" w:rsidTr="0034055A">
        <w:tc>
          <w:tcPr>
            <w:tcW w:w="514"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jc w:val="center"/>
              <w:rPr>
                <w:sz w:val="20"/>
                <w:szCs w:val="20"/>
              </w:rPr>
            </w:pPr>
            <w:r w:rsidRPr="007078D3">
              <w:rPr>
                <w:sz w:val="20"/>
                <w:szCs w:val="20"/>
              </w:rPr>
              <w:t>21.</w:t>
            </w:r>
          </w:p>
        </w:tc>
        <w:tc>
          <w:tcPr>
            <w:tcW w:w="2596"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PN-B-04452:2002</w:t>
            </w:r>
          </w:p>
        </w:tc>
        <w:tc>
          <w:tcPr>
            <w:tcW w:w="7522" w:type="dxa"/>
            <w:shd w:val="clear" w:color="auto" w:fill="EAEAEA"/>
            <w:tcMar>
              <w:top w:w="0" w:type="dxa"/>
              <w:left w:w="70" w:type="dxa"/>
              <w:bottom w:w="0" w:type="dxa"/>
              <w:right w:w="70" w:type="dxa"/>
            </w:tcMar>
            <w:hideMark/>
          </w:tcPr>
          <w:p w:rsidR="0034055A" w:rsidRPr="007078D3" w:rsidRDefault="0034055A" w:rsidP="00ED04E8">
            <w:pPr>
              <w:pStyle w:val="standardowytekst"/>
              <w:spacing w:before="0" w:beforeAutospacing="0" w:after="0" w:afterAutospacing="0"/>
              <w:rPr>
                <w:sz w:val="20"/>
                <w:szCs w:val="20"/>
              </w:rPr>
            </w:pPr>
            <w:r w:rsidRPr="007078D3">
              <w:rPr>
                <w:sz w:val="20"/>
                <w:szCs w:val="20"/>
              </w:rPr>
              <w:t>Geotechnika -- Badania polowe</w:t>
            </w:r>
          </w:p>
        </w:tc>
      </w:tr>
    </w:tbl>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10.3. Inne dokumenty</w:t>
      </w:r>
    </w:p>
    <w:p w:rsidR="0034055A" w:rsidRPr="007078D3" w:rsidRDefault="0034055A" w:rsidP="00ED04E8">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22.      Katalog typowych konstrukcji nawierzchni podatnych i półsztywnych. Załącznik do zarządzenia Nr 31 Generalnego Dyrektora Dróg Krajowych i Autostrad z dnia 16.06.2014 r.</w:t>
      </w:r>
    </w:p>
    <w:p w:rsidR="0034055A" w:rsidRPr="007078D3" w:rsidRDefault="0034055A" w:rsidP="00ED04E8">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23.      Katalog typowych konstrukcji nawierzchni sztywnych. Załącznik do zarządzenia Nr 30 Generalnego Dyrektora Dróg Krajowych i Autostrad z dnia 16.06.2014 r.</w:t>
      </w:r>
    </w:p>
    <w:p w:rsidR="0034055A" w:rsidRPr="007078D3" w:rsidRDefault="0034055A" w:rsidP="00ED04E8">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24.      Ustawa o wyrobach budowlanych (tekst jednolity Dz. U. z 2016 r., poz. 1570 z </w:t>
      </w:r>
      <w:r w:rsidRPr="007078D3">
        <w:rPr>
          <w:rStyle w:val="spelle"/>
          <w:rFonts w:ascii="Times New Roman" w:hAnsi="Times New Roman" w:cs="Times New Roman"/>
          <w:color w:val="000000"/>
          <w:szCs w:val="20"/>
        </w:rPr>
        <w:t>późn</w:t>
      </w:r>
      <w:r w:rsidRPr="007078D3">
        <w:rPr>
          <w:rFonts w:ascii="Times New Roman" w:hAnsi="Times New Roman" w:cs="Times New Roman"/>
          <w:color w:val="000000"/>
          <w:szCs w:val="20"/>
        </w:rPr>
        <w:t>. zm.)</w:t>
      </w: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ED04E8" w:rsidRDefault="00ED04E8" w:rsidP="00ED04E8">
      <w:pPr>
        <w:pStyle w:val="Bezodstpw"/>
        <w:spacing w:line="240" w:lineRule="auto"/>
        <w:rPr>
          <w:rFonts w:ascii="Times New Roman" w:hAnsi="Times New Roman" w:cs="Times New Roman"/>
          <w:sz w:val="20"/>
          <w:szCs w:val="20"/>
          <w:lang w:eastAsia="pl-PL"/>
        </w:rPr>
      </w:pPr>
    </w:p>
    <w:p w:rsidR="00DB203D" w:rsidRPr="007078D3" w:rsidRDefault="00DB203D" w:rsidP="00ED04E8">
      <w:pPr>
        <w:pStyle w:val="Bezodstpw"/>
        <w:spacing w:line="240" w:lineRule="auto"/>
        <w:rPr>
          <w:rFonts w:ascii="Times New Roman" w:hAnsi="Times New Roman" w:cs="Times New Roman"/>
          <w:sz w:val="20"/>
          <w:szCs w:val="20"/>
          <w:lang w:eastAsia="pl-PL"/>
        </w:rPr>
      </w:pPr>
      <w:bookmarkStart w:id="171" w:name="_Toc221170388"/>
      <w:r w:rsidRPr="007078D3">
        <w:rPr>
          <w:rFonts w:ascii="Times New Roman" w:hAnsi="Times New Roman" w:cs="Times New Roman"/>
          <w:sz w:val="20"/>
          <w:szCs w:val="20"/>
          <w:lang w:eastAsia="pl-PL"/>
        </w:rPr>
        <w:t>D</w:t>
      </w:r>
      <w:r w:rsidR="00C35FAE" w:rsidRPr="007078D3">
        <w:rPr>
          <w:rFonts w:ascii="Times New Roman" w:hAnsi="Times New Roman" w:cs="Times New Roman"/>
          <w:sz w:val="20"/>
          <w:szCs w:val="20"/>
          <w:lang w:eastAsia="pl-PL"/>
        </w:rPr>
        <w:t>-</w:t>
      </w:r>
      <w:r w:rsidRPr="007078D3">
        <w:rPr>
          <w:rFonts w:ascii="Times New Roman" w:hAnsi="Times New Roman" w:cs="Times New Roman"/>
          <w:sz w:val="20"/>
          <w:szCs w:val="20"/>
          <w:lang w:eastAsia="pl-PL"/>
        </w:rPr>
        <w:t>02.01.01 WYKONANIE  WYKOPÓW W  GRUNTACH   NIESKALISTYCH</w:t>
      </w:r>
      <w:bookmarkEnd w:id="171"/>
    </w:p>
    <w:p w:rsidR="00D1096E" w:rsidRPr="007078D3" w:rsidRDefault="00D1096E" w:rsidP="00ED04E8">
      <w:pPr>
        <w:pStyle w:val="Nagwek1"/>
        <w:spacing w:before="0" w:beforeAutospacing="0" w:after="0" w:afterAutospacing="0"/>
        <w:rPr>
          <w:rFonts w:ascii="Times New Roman" w:hAnsi="Times New Roman"/>
          <w:szCs w:val="20"/>
        </w:rPr>
      </w:pPr>
      <w:bookmarkStart w:id="172" w:name="_Toc407161213"/>
      <w:bookmarkStart w:id="173" w:name="_Toc418994925"/>
      <w:bookmarkStart w:id="174" w:name="_Toc418996332"/>
      <w:bookmarkStart w:id="175" w:name="_Toc418996701"/>
      <w:bookmarkStart w:id="176" w:name="_Toc418997088"/>
      <w:bookmarkStart w:id="177" w:name="_Toc418998498"/>
      <w:bookmarkStart w:id="178" w:name="_Toc418998854"/>
      <w:bookmarkStart w:id="179" w:name="_Toc419000099"/>
    </w:p>
    <w:bookmarkEnd w:id="172"/>
    <w:bookmarkEnd w:id="173"/>
    <w:bookmarkEnd w:id="174"/>
    <w:bookmarkEnd w:id="175"/>
    <w:bookmarkEnd w:id="176"/>
    <w:bookmarkEnd w:id="177"/>
    <w:bookmarkEnd w:id="178"/>
    <w:bookmarkEnd w:id="179"/>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r w:rsidRPr="007078D3">
        <w:rPr>
          <w:rFonts w:ascii="Times New Roman" w:hAnsi="Times New Roman"/>
          <w:caps/>
          <w:color w:val="000000"/>
          <w:szCs w:val="20"/>
        </w:rPr>
        <w:t>1. WSTĘP</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80" w:name="_Toc407161214"/>
      <w:r w:rsidRPr="007078D3">
        <w:rPr>
          <w:rFonts w:ascii="Times New Roman" w:hAnsi="Times New Roman"/>
          <w:color w:val="000000"/>
          <w:szCs w:val="20"/>
        </w:rPr>
        <w:t xml:space="preserve">1.1. Przedmiot </w:t>
      </w:r>
      <w:r w:rsidR="00985629">
        <w:rPr>
          <w:rFonts w:ascii="Times New Roman" w:hAnsi="Times New Roman"/>
          <w:color w:val="000000"/>
          <w:szCs w:val="20"/>
        </w:rPr>
        <w:t>SST</w:t>
      </w:r>
      <w:bookmarkEnd w:id="180"/>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Przedmiotem niniejszej specyfikacji technicznej (</w:t>
      </w:r>
      <w:r w:rsidR="007078D3">
        <w:rPr>
          <w:rFonts w:ascii="Times New Roman" w:hAnsi="Times New Roman" w:cs="Times New Roman"/>
          <w:color w:val="000000"/>
          <w:szCs w:val="20"/>
        </w:rPr>
        <w:t>S</w:t>
      </w:r>
      <w:r w:rsidRPr="007078D3">
        <w:rPr>
          <w:rFonts w:ascii="Times New Roman" w:hAnsi="Times New Roman" w:cs="Times New Roman"/>
          <w:color w:val="000000"/>
          <w:szCs w:val="20"/>
        </w:rPr>
        <w:t>ST) są wymagania dotyczące wykonania i odbioru wykopów w gruntach </w:t>
      </w:r>
      <w:r w:rsidRPr="007078D3">
        <w:rPr>
          <w:rStyle w:val="spelle"/>
          <w:rFonts w:ascii="Times New Roman" w:hAnsi="Times New Roman" w:cs="Times New Roman"/>
          <w:color w:val="000000"/>
          <w:szCs w:val="20"/>
        </w:rPr>
        <w:t>nieskalistych</w:t>
      </w:r>
      <w:r w:rsidRPr="007078D3">
        <w:rPr>
          <w:rFonts w:ascii="Times New Roman" w:hAnsi="Times New Roman" w:cs="Times New Roman"/>
          <w:color w:val="000000"/>
          <w:szCs w:val="20"/>
        </w:rPr>
        <w: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81" w:name="_Toc407161215"/>
      <w:r w:rsidRPr="007078D3">
        <w:rPr>
          <w:rFonts w:ascii="Times New Roman" w:hAnsi="Times New Roman"/>
          <w:color w:val="000000"/>
          <w:szCs w:val="20"/>
        </w:rPr>
        <w:t xml:space="preserve">1.2. Zakres stosowania </w:t>
      </w:r>
      <w:r w:rsidR="00985629">
        <w:rPr>
          <w:rFonts w:ascii="Times New Roman" w:hAnsi="Times New Roman"/>
          <w:color w:val="000000"/>
          <w:szCs w:val="20"/>
        </w:rPr>
        <w:t>SST</w:t>
      </w:r>
      <w:bookmarkEnd w:id="181"/>
    </w:p>
    <w:p w:rsidR="007078D3" w:rsidRPr="00385DEF" w:rsidRDefault="007078D3" w:rsidP="00ED04E8">
      <w:pPr>
        <w:ind w:firstLine="708"/>
      </w:pPr>
      <w:r w:rsidRPr="00385DEF">
        <w:t>Szczegółowa specyfikacja techniczna dotyczy robót wyszczególnionych w punkcie 1.3.</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 xml:space="preserve">1.3. Zakres robót objętych </w:t>
      </w:r>
      <w:r w:rsidR="00985629">
        <w:rPr>
          <w:rFonts w:ascii="Times New Roman" w:hAnsi="Times New Roman"/>
          <w:color w:val="000000"/>
          <w:szCs w:val="20"/>
        </w:rPr>
        <w:t>SST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Ustalenia zawarte w niniejszej specyfikacji dotyczą zasad prowadzenia robót ziemnych w czasie budowy lub modernizacji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i obejmują wykonanie wykopów w gruntach </w:t>
      </w:r>
      <w:r w:rsidRPr="007078D3">
        <w:rPr>
          <w:rStyle w:val="spelle"/>
          <w:rFonts w:ascii="Times New Roman" w:hAnsi="Times New Roman" w:cs="Times New Roman"/>
          <w:color w:val="000000"/>
          <w:szCs w:val="20"/>
        </w:rPr>
        <w:t>nieskalistych</w:t>
      </w:r>
      <w:r w:rsidRPr="007078D3">
        <w:rPr>
          <w:rFonts w:ascii="Times New Roman" w:hAnsi="Times New Roman" w:cs="Times New Roman"/>
          <w:color w:val="000000"/>
          <w:szCs w:val="20"/>
        </w:rPr>
        <w: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82" w:name="_Toc407161217"/>
      <w:r w:rsidRPr="007078D3">
        <w:rPr>
          <w:rFonts w:ascii="Times New Roman" w:hAnsi="Times New Roman"/>
          <w:color w:val="000000"/>
          <w:szCs w:val="20"/>
        </w:rPr>
        <w:t>1.4. Określenia podstawowe</w:t>
      </w:r>
      <w:bookmarkEnd w:id="182"/>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Podstawowe określenia zostały podane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1.4.</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83" w:name="_Toc407161218"/>
      <w:r w:rsidRPr="007078D3">
        <w:rPr>
          <w:rFonts w:ascii="Times New Roman" w:hAnsi="Times New Roman"/>
          <w:color w:val="000000"/>
          <w:szCs w:val="20"/>
        </w:rPr>
        <w:t>1.5. Ogólne wymagania dotyczące robót</w:t>
      </w:r>
      <w:bookmarkEnd w:id="183"/>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1.5.</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84" w:name="_Toc419000100"/>
      <w:bookmarkStart w:id="185" w:name="_Toc418998855"/>
      <w:bookmarkStart w:id="186" w:name="_Toc418998499"/>
      <w:bookmarkStart w:id="187" w:name="_Toc418997089"/>
      <w:bookmarkStart w:id="188" w:name="_Toc418996702"/>
      <w:bookmarkStart w:id="189" w:name="_Toc418996333"/>
      <w:bookmarkStart w:id="190" w:name="_Toc418994926"/>
      <w:bookmarkStart w:id="191" w:name="_Toc407161219"/>
      <w:bookmarkStart w:id="192" w:name="_Toc17408022"/>
      <w:bookmarkStart w:id="193" w:name="_Toc17407903"/>
      <w:bookmarkStart w:id="194" w:name="_Toc17407779"/>
      <w:bookmarkStart w:id="195" w:name="_Toc17407544"/>
      <w:bookmarkStart w:id="196" w:name="_2._Materiały_1"/>
      <w:bookmarkEnd w:id="184"/>
      <w:bookmarkEnd w:id="185"/>
      <w:bookmarkEnd w:id="186"/>
      <w:bookmarkEnd w:id="187"/>
      <w:bookmarkEnd w:id="188"/>
      <w:bookmarkEnd w:id="189"/>
      <w:bookmarkEnd w:id="190"/>
      <w:bookmarkEnd w:id="191"/>
      <w:bookmarkEnd w:id="192"/>
      <w:bookmarkEnd w:id="193"/>
      <w:bookmarkEnd w:id="194"/>
      <w:bookmarkEnd w:id="195"/>
      <w:bookmarkEnd w:id="196"/>
      <w:r w:rsidRPr="007078D3">
        <w:rPr>
          <w:rFonts w:ascii="Times New Roman" w:hAnsi="Times New Roman"/>
          <w:caps/>
          <w:color w:val="000000"/>
          <w:szCs w:val="20"/>
        </w:rPr>
        <w:t>2. MATERIAŁY</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 Ogólne wymagania dotyczące materiałów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i ustalenia dotyczące materiałów określono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i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2.</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Wymagania i ustalenia dotyczące wykorzystania gruntów, w tym wskazania materiałów do ulepszenia gruntów podłoża, określono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2.2.</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97" w:name="_Toc17408023"/>
      <w:bookmarkStart w:id="198" w:name="_Toc17407904"/>
      <w:bookmarkStart w:id="199" w:name="_Toc17407780"/>
      <w:bookmarkStart w:id="200" w:name="_Toc17407545"/>
      <w:bookmarkStart w:id="201" w:name="_Toc419000101"/>
      <w:bookmarkStart w:id="202" w:name="_Toc418998856"/>
      <w:bookmarkStart w:id="203" w:name="_Toc418998500"/>
      <w:bookmarkStart w:id="204" w:name="_Toc418997090"/>
      <w:bookmarkStart w:id="205" w:name="_Toc418996703"/>
      <w:bookmarkStart w:id="206" w:name="_Toc418996334"/>
      <w:bookmarkStart w:id="207" w:name="_Toc418994927"/>
      <w:bookmarkStart w:id="208" w:name="_Toc407161220"/>
      <w:bookmarkStart w:id="209" w:name="_3._Sprzęt_1"/>
      <w:bookmarkEnd w:id="197"/>
      <w:bookmarkEnd w:id="198"/>
      <w:bookmarkEnd w:id="199"/>
      <w:bookmarkEnd w:id="200"/>
      <w:bookmarkEnd w:id="201"/>
      <w:bookmarkEnd w:id="202"/>
      <w:bookmarkEnd w:id="203"/>
      <w:bookmarkEnd w:id="204"/>
      <w:bookmarkEnd w:id="205"/>
      <w:bookmarkEnd w:id="206"/>
      <w:bookmarkEnd w:id="207"/>
      <w:bookmarkEnd w:id="208"/>
      <w:bookmarkEnd w:id="209"/>
      <w:r w:rsidRPr="007078D3">
        <w:rPr>
          <w:rFonts w:ascii="Times New Roman" w:hAnsi="Times New Roman"/>
          <w:caps/>
          <w:color w:val="000000"/>
          <w:szCs w:val="20"/>
        </w:rPr>
        <w:t>3. SPRZĘT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i ustalenia dotyczące sprzętu określono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D-02.00.01 „Roboty ziemne”,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3.</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Wykonawca dokona wyboru sprzętu do odspajania i transportu materiałów przeznaczonych do wbudowania w nasyp z uwzględnieniem odległości transportowych, rodzaju i stanu odspajanego gruntu lub materiału antropogenicznego, objętości materiału do przemieszczenia oraz charakterystyki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transportowych (pochylenia, podatność na zmianę stanu).</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210" w:name="_Toc17408024"/>
      <w:bookmarkStart w:id="211" w:name="_Toc17407905"/>
      <w:bookmarkStart w:id="212" w:name="_Toc17407781"/>
      <w:bookmarkStart w:id="213" w:name="_Toc17407546"/>
      <w:bookmarkStart w:id="214" w:name="_Toc419000102"/>
      <w:bookmarkStart w:id="215" w:name="_Toc418998857"/>
      <w:bookmarkStart w:id="216" w:name="_Toc418998501"/>
      <w:bookmarkStart w:id="217" w:name="_Toc418997091"/>
      <w:bookmarkStart w:id="218" w:name="_Toc418996704"/>
      <w:bookmarkStart w:id="219" w:name="_Toc418996335"/>
      <w:bookmarkStart w:id="220" w:name="_Toc418994928"/>
      <w:bookmarkStart w:id="221" w:name="_Toc407161221"/>
      <w:bookmarkStart w:id="222" w:name="_4._Transport_1"/>
      <w:bookmarkEnd w:id="210"/>
      <w:bookmarkEnd w:id="211"/>
      <w:bookmarkEnd w:id="212"/>
      <w:bookmarkEnd w:id="213"/>
      <w:bookmarkEnd w:id="214"/>
      <w:bookmarkEnd w:id="215"/>
      <w:bookmarkEnd w:id="216"/>
      <w:bookmarkEnd w:id="217"/>
      <w:bookmarkEnd w:id="218"/>
      <w:bookmarkEnd w:id="219"/>
      <w:bookmarkEnd w:id="220"/>
      <w:bookmarkEnd w:id="221"/>
      <w:bookmarkEnd w:id="222"/>
      <w:r w:rsidRPr="007078D3">
        <w:rPr>
          <w:rFonts w:ascii="Times New Roman" w:hAnsi="Times New Roman"/>
          <w:caps/>
          <w:color w:val="000000"/>
          <w:szCs w:val="20"/>
        </w:rPr>
        <w:t>4. TRANSPORT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i ustalenia dotyczące transportu określono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4.</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223" w:name="_Toc17408025"/>
      <w:bookmarkStart w:id="224" w:name="_Toc17407906"/>
      <w:bookmarkStart w:id="225" w:name="_Toc17407782"/>
      <w:bookmarkStart w:id="226" w:name="_Toc17407547"/>
      <w:bookmarkStart w:id="227" w:name="_Toc419000103"/>
      <w:bookmarkStart w:id="228" w:name="_Toc418998858"/>
      <w:bookmarkStart w:id="229" w:name="_Toc418998502"/>
      <w:bookmarkStart w:id="230" w:name="_Toc418997092"/>
      <w:bookmarkStart w:id="231" w:name="_Toc418996705"/>
      <w:bookmarkStart w:id="232" w:name="_Toc418996336"/>
      <w:bookmarkStart w:id="233" w:name="_Toc418994929"/>
      <w:bookmarkStart w:id="234" w:name="_Toc407161222"/>
      <w:bookmarkStart w:id="235" w:name="_5._Wykonanie_robót_1"/>
      <w:bookmarkEnd w:id="223"/>
      <w:bookmarkEnd w:id="224"/>
      <w:bookmarkEnd w:id="225"/>
      <w:bookmarkEnd w:id="226"/>
      <w:bookmarkEnd w:id="227"/>
      <w:bookmarkEnd w:id="228"/>
      <w:bookmarkEnd w:id="229"/>
      <w:bookmarkEnd w:id="230"/>
      <w:bookmarkEnd w:id="231"/>
      <w:bookmarkEnd w:id="232"/>
      <w:bookmarkEnd w:id="233"/>
      <w:bookmarkEnd w:id="234"/>
      <w:bookmarkEnd w:id="235"/>
      <w:r w:rsidRPr="007078D3">
        <w:rPr>
          <w:rFonts w:ascii="Times New Roman" w:hAnsi="Times New Roman"/>
          <w:caps/>
          <w:color w:val="000000"/>
          <w:szCs w:val="20"/>
        </w:rPr>
        <w:t>5. WYKONANIE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236" w:name="_Toc407161223"/>
      <w:r w:rsidRPr="007078D3">
        <w:rPr>
          <w:rFonts w:ascii="Times New Roman" w:hAnsi="Times New Roman"/>
          <w:color w:val="000000"/>
          <w:szCs w:val="20"/>
        </w:rPr>
        <w:t>5.1. Ogólne zasady prowadzenia robót</w:t>
      </w:r>
      <w:bookmarkEnd w:id="236"/>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prowadzenia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5.</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5.2. Odspajanie   gruntów </w:t>
      </w:r>
      <w:r w:rsidRPr="007078D3">
        <w:rPr>
          <w:rStyle w:val="spelle"/>
          <w:rFonts w:ascii="Times New Roman" w:hAnsi="Times New Roman"/>
          <w:color w:val="000000"/>
          <w:szCs w:val="20"/>
        </w:rPr>
        <w:t>nieskalistych</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Wykonawca nie powinien dopuścić do odspojenia gruntu poza pasem wynikającym z dokumentacji projektowej ani na głębokość większą niż określono w dokumentacji projektowej. Jeżeli zaistnieje taka sytuacja, należy odtworzyć zbędnie usunięte strefy z materiału o nie gorszych właściwościach niż materiał rodzimy, który został odspojony. W razie potrzeby należy ocenić wpływ nadmiernego odspojenia gruntu na stateczność budowli ziemnej.</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Roboty należy prowadzić w planowy i usystematyzowany sposób, tak aby grunty i materiały przeznaczone do wbudowania w nasyp nie utraciły przydatności i aby grunty o różnym stopniu przydatności do budowy nasypów były odspajane oddzielnie, w sposób uniemożliwiający ich wymieszanie. Odstępstwo od powyższego wymagania, uzasadnione skomplikowanym układem warstw geotechnicznych, wymaga zgody Inżyniera.</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Jeżeli grunt jest zamarznięty można go odspajać tylko do głębokości 0,5 m powyżej projektowanych rzędnych górnej powierzchni podłoża gruntowego nawierzchni. Odspojony grunt przydatny do budowy nasypu, którego czasowa nieprzydatność wynika jedynie z zamarznięcia, należy pozostawić do czasu rozmarznięcia i osuszenia, a następnie wbudować w nasyp.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O ile w dokumentacji projektowej nie określono inaczej, wykonywanie wykopów można wstrzymać na dowolnym etapie, pod warunkiem zachowania minimum 0,3 m grubości warstwy gruntu powyżej rzędnych spodu konstrukcji nawierzchni.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Ostateczne ukształtowanie niwelety robót ziemnych w wykopie powinno być wykonane w takim okresie, aby po zakończeniu prac można było przystąpić bezzwłocznie do wykonania pierwszej warstwy nawierzchni.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występowania zinwentaryzowanych urządzeń podziemnych oraz na tych powierzchniach, gdzie zgodnie z dokumentacją projektową wymagana jest nienaruszona struktura gruntu podłoża, wykopy należy wykonać lub ostatecznie ukształtować ich powierzchnię sposobem ręcznym. Urobek z wykopów wykonywanych ręcznie należy odkładać na powierzchni terenu w bezpiecznej odległości od krawędzi wykopu, nie zagrażającej stateczności wykopu oraz zapewniającej, że wydobyty grunt nie zsypie się ponownie do wykopu. Wydobyty grunt powinien stanowić zabezpieczenie przed możliwym spływem wody opadowej do wykopu.</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5.3. Wykonywanie skarp wykopów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Sposób wykonania skarp wykopu powinien gwarantować ich stateczność w całym okresie prowadzenia robót, a naprawa uszkodzeń, wynikających z nieprawidłowego ukształtowania skarp wykopu, ich podcięcia lub innych odstępstw od dokumentacji projektowej obciąża Wykonawcę.</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Strome skarpy powstałe w czasie odspajania koparką gruntu lub innego materiału nie powinny być pozostawione na dłuższy okres czasu. Jeżeli proces wykonywania wykopu nie jest ciągły, strome skarpy muszą być doprowadzone do bezpiecznego pochylenia do czasu wznowienia robót. Wysokość stromych skarp ukształtowanych w wyniku pracy koparek nie powinna być większa niż 5 metrów. Skarpy takie muszą być zabezpieczone od góry tymczasowym ogrodzeniem lub pryzmą gruntu.</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lastRenderedPageBreak/>
        <w:t xml:space="preserve">Jeśli w dokumentacji projektowej przewidziano umocnienie skarp wykopów należy wykonać je jak najszybciej zgodnie z dokumentacją,  wg odrębnej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5.4. Odwodnienie wykopów</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Technologia wykonania wykopu musi umożliwiać jego prawidłowe odwodnienie w całym okresie trwania robót ziemnych. Wykonanie wykopów powinno postępować w kierunku podnoszenia się niwelety.</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            Źródła wody, odsłonięte przy wykonywaniu wykopów, należy ująć w rowy i /lub dreny. Wody opadowe i gruntowe należy odprowadzić poza teren pasa robót ziemnych.</w:t>
      </w:r>
    </w:p>
    <w:p w:rsidR="0034055A" w:rsidRPr="007078D3" w:rsidRDefault="0034055A" w:rsidP="00ED04E8">
      <w:pPr>
        <w:pStyle w:val="standardowytekst"/>
        <w:spacing w:before="0" w:beforeAutospacing="0" w:after="0" w:afterAutospacing="0"/>
        <w:ind w:firstLine="709"/>
        <w:rPr>
          <w:color w:val="000000"/>
          <w:sz w:val="20"/>
          <w:szCs w:val="20"/>
        </w:rPr>
      </w:pPr>
      <w:r w:rsidRPr="007078D3">
        <w:rPr>
          <w:color w:val="000000"/>
          <w:sz w:val="20"/>
          <w:szCs w:val="20"/>
        </w:rPr>
        <w:t xml:space="preserve">Pochylenie podłużne dna rowu nie powinno różnić się od projektowanego o więcej niż 0,05%. Dokładność wykonania skarp rowów powinna być zgodna z określoną dla skarp wykopów w </w:t>
      </w:r>
      <w:r w:rsidR="00985629">
        <w:rPr>
          <w:color w:val="000000"/>
          <w:sz w:val="20"/>
          <w:szCs w:val="20"/>
        </w:rPr>
        <w:t>SST</w:t>
      </w:r>
      <w:r w:rsidRPr="007078D3">
        <w:rPr>
          <w:color w:val="000000"/>
          <w:sz w:val="20"/>
          <w:szCs w:val="20"/>
        </w:rPr>
        <w:t xml:space="preserve"> D-02.00.01. , pkt.6.4.1.</w:t>
      </w:r>
    </w:p>
    <w:p w:rsidR="0034055A" w:rsidRPr="007078D3" w:rsidRDefault="0034055A" w:rsidP="00ED04E8">
      <w:pPr>
        <w:pStyle w:val="Nagwek2"/>
        <w:spacing w:before="0" w:beforeAutospacing="0" w:after="0" w:afterAutospacing="0"/>
        <w:ind w:left="480" w:hanging="480"/>
        <w:jc w:val="both"/>
        <w:rPr>
          <w:rFonts w:ascii="Times New Roman" w:hAnsi="Times New Roman"/>
          <w:color w:val="000000"/>
          <w:szCs w:val="20"/>
        </w:rPr>
      </w:pPr>
      <w:bookmarkStart w:id="237" w:name="_Toc407161224"/>
      <w:r w:rsidRPr="007078D3">
        <w:rPr>
          <w:rFonts w:ascii="Times New Roman" w:hAnsi="Times New Roman"/>
          <w:color w:val="000000"/>
          <w:szCs w:val="20"/>
        </w:rPr>
        <w:t>5.5. Wymagania dotyczące zagęszczenia</w:t>
      </w:r>
      <w:bookmarkEnd w:id="237"/>
      <w:r w:rsidRPr="007078D3">
        <w:rPr>
          <w:rFonts w:ascii="Times New Roman" w:hAnsi="Times New Roman"/>
          <w:color w:val="000000"/>
          <w:szCs w:val="20"/>
        </w:rPr>
        <w:t> i nośności podłoża gruntowego nawierzchni w wykopie i miejscach zerowych robót ziemnych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5.5.1.</w:t>
      </w:r>
      <w:r w:rsidRPr="007078D3">
        <w:rPr>
          <w:rFonts w:ascii="Times New Roman" w:hAnsi="Times New Roman" w:cs="Times New Roman"/>
          <w:color w:val="000000"/>
          <w:szCs w:val="20"/>
        </w:rPr>
        <w:t> Wymagania odnośnie do zagęszczenia podłoża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Zagęszczenie gruntu w wykopach i miejscach zerowych robót ziemnych powinno spełniać wymagania, dotyczące minimalnej wartości wskaźnika zagęszczenia (</w:t>
      </w:r>
      <w:r w:rsidRPr="007078D3">
        <w:rPr>
          <w:rStyle w:val="spelle"/>
          <w:rFonts w:ascii="Times New Roman" w:hAnsi="Times New Roman" w:cs="Times New Roman"/>
          <w:color w:val="000000"/>
          <w:szCs w:val="20"/>
        </w:rPr>
        <w:t>I</w:t>
      </w:r>
      <w:r w:rsidRPr="007078D3">
        <w:rPr>
          <w:rStyle w:val="spelle"/>
          <w:rFonts w:ascii="Times New Roman" w:hAnsi="Times New Roman" w:cs="Times New Roman"/>
          <w:color w:val="000000"/>
          <w:szCs w:val="20"/>
          <w:vertAlign w:val="subscript"/>
        </w:rPr>
        <w:t>s</w:t>
      </w:r>
      <w:r w:rsidRPr="007078D3">
        <w:rPr>
          <w:rFonts w:ascii="Times New Roman" w:hAnsi="Times New Roman" w:cs="Times New Roman"/>
          <w:color w:val="000000"/>
          <w:szCs w:val="20"/>
        </w:rPr>
        <w:t>), podanego w tabeli 6.</w:t>
      </w:r>
    </w:p>
    <w:p w:rsidR="0034055A" w:rsidRPr="007078D3" w:rsidRDefault="0034055A" w:rsidP="00ED04E8">
      <w:pPr>
        <w:pStyle w:val="Legenda"/>
        <w:spacing w:before="0" w:beforeAutospacing="0" w:after="0" w:afterAutospacing="0"/>
        <w:jc w:val="both"/>
        <w:rPr>
          <w:color w:val="000000"/>
          <w:sz w:val="20"/>
          <w:szCs w:val="20"/>
        </w:rPr>
      </w:pPr>
      <w:bookmarkStart w:id="238" w:name="_Toc24581329"/>
      <w:r w:rsidRPr="007078D3">
        <w:rPr>
          <w:color w:val="000000"/>
          <w:sz w:val="20"/>
          <w:szCs w:val="20"/>
        </w:rPr>
        <w:t>Tabela </w:t>
      </w:r>
      <w:bookmarkEnd w:id="238"/>
      <w:r w:rsidRPr="007078D3">
        <w:rPr>
          <w:color w:val="000000"/>
          <w:sz w:val="20"/>
          <w:szCs w:val="20"/>
        </w:rPr>
        <w:t>6. Minimalne wartości wskaźnika zagęszczenia w wykopach i miejscach zerowych robót ziemnych</w:t>
      </w:r>
    </w:p>
    <w:tbl>
      <w:tblPr>
        <w:tblW w:w="0" w:type="auto"/>
        <w:shd w:val="clear" w:color="auto" w:fill="EAEAEA"/>
        <w:tblCellMar>
          <w:left w:w="0" w:type="dxa"/>
          <w:right w:w="0" w:type="dxa"/>
        </w:tblCellMar>
        <w:tblLook w:val="04A0"/>
      </w:tblPr>
      <w:tblGrid>
        <w:gridCol w:w="3430"/>
        <w:gridCol w:w="2495"/>
        <w:gridCol w:w="1501"/>
        <w:gridCol w:w="1501"/>
      </w:tblGrid>
      <w:tr w:rsidR="0034055A" w:rsidRPr="007078D3" w:rsidTr="0034055A">
        <w:tc>
          <w:tcPr>
            <w:tcW w:w="3430" w:type="dxa"/>
            <w:vMerge w:val="restart"/>
            <w:tcBorders>
              <w:top w:val="single" w:sz="8" w:space="0" w:color="auto"/>
              <w:left w:val="single" w:sz="8" w:space="0" w:color="auto"/>
              <w:bottom w:val="single" w:sz="8" w:space="0" w:color="auto"/>
              <w:right w:val="nil"/>
            </w:tcBorders>
            <w:shd w:val="clear" w:color="auto" w:fill="EAEAEA"/>
            <w:noWrap/>
            <w:tcMar>
              <w:top w:w="0" w:type="dxa"/>
              <w:left w:w="70" w:type="dxa"/>
              <w:bottom w:w="0" w:type="dxa"/>
              <w:right w:w="70" w:type="dxa"/>
            </w:tcMar>
            <w:vAlign w:val="cente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Strefa podłoża gruntowego</w:t>
            </w:r>
          </w:p>
        </w:tc>
        <w:tc>
          <w:tcPr>
            <w:tcW w:w="5497" w:type="dxa"/>
            <w:gridSpan w:val="3"/>
            <w:tcBorders>
              <w:top w:val="single" w:sz="8" w:space="0" w:color="auto"/>
              <w:left w:val="single" w:sz="8" w:space="0" w:color="auto"/>
              <w:bottom w:val="nil"/>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Minimalna wartość </w:t>
            </w:r>
            <w:r w:rsidRPr="007078D3">
              <w:rPr>
                <w:rStyle w:val="spelle"/>
                <w:rFonts w:ascii="Times New Roman" w:hAnsi="Times New Roman" w:cs="Times New Roman"/>
                <w:sz w:val="18"/>
                <w:szCs w:val="18"/>
              </w:rPr>
              <w:t>I</w:t>
            </w:r>
            <w:r w:rsidRPr="007078D3">
              <w:rPr>
                <w:rStyle w:val="spelle"/>
                <w:rFonts w:ascii="Times New Roman" w:hAnsi="Times New Roman" w:cs="Times New Roman"/>
                <w:sz w:val="18"/>
                <w:szCs w:val="18"/>
                <w:vertAlign w:val="subscript"/>
              </w:rPr>
              <w:t>s</w:t>
            </w:r>
            <w:r w:rsidRPr="007078D3">
              <w:rPr>
                <w:rFonts w:ascii="Times New Roman" w:hAnsi="Times New Roman" w:cs="Times New Roman"/>
                <w:sz w:val="18"/>
                <w:szCs w:val="18"/>
              </w:rPr>
              <w:t> dla:</w:t>
            </w:r>
          </w:p>
        </w:tc>
      </w:tr>
      <w:tr w:rsidR="0034055A" w:rsidRPr="007078D3" w:rsidTr="0034055A">
        <w:tc>
          <w:tcPr>
            <w:tcW w:w="0" w:type="auto"/>
            <w:vMerge/>
            <w:tcBorders>
              <w:top w:val="single" w:sz="8" w:space="0" w:color="auto"/>
              <w:left w:val="single" w:sz="8" w:space="0" w:color="auto"/>
              <w:bottom w:val="single" w:sz="8" w:space="0" w:color="auto"/>
              <w:right w:val="nil"/>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5497" w:type="dxa"/>
            <w:gridSpan w:val="3"/>
            <w:tcBorders>
              <w:top w:val="single" w:sz="8" w:space="0" w:color="auto"/>
              <w:left w:val="single" w:sz="8" w:space="0" w:color="auto"/>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Kategoria ruchu</w:t>
            </w:r>
          </w:p>
        </w:tc>
      </w:tr>
      <w:tr w:rsidR="0034055A" w:rsidRPr="007078D3" w:rsidTr="0034055A">
        <w:tc>
          <w:tcPr>
            <w:tcW w:w="0" w:type="auto"/>
            <w:vMerge/>
            <w:tcBorders>
              <w:top w:val="single" w:sz="8" w:space="0" w:color="auto"/>
              <w:left w:val="single" w:sz="8" w:space="0" w:color="auto"/>
              <w:bottom w:val="single" w:sz="8" w:space="0" w:color="auto"/>
              <w:right w:val="nil"/>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495" w:type="dxa"/>
            <w:tcBorders>
              <w:top w:val="nil"/>
              <w:left w:val="single" w:sz="8" w:space="0" w:color="auto"/>
              <w:bottom w:val="single" w:sz="8" w:space="0" w:color="auto"/>
              <w:right w:val="nil"/>
            </w:tcBorders>
            <w:shd w:val="clear" w:color="auto" w:fill="EAEAEA"/>
            <w:noWrap/>
            <w:tcMar>
              <w:top w:w="0" w:type="dxa"/>
              <w:left w:w="70" w:type="dxa"/>
              <w:bottom w:w="0" w:type="dxa"/>
              <w:right w:w="70" w:type="dxa"/>
            </w:tcMar>
            <w:vAlign w:val="cente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KR1-KR2, zjazdy, chodniki, ścieżki rowerowe, ciągi </w:t>
            </w:r>
            <w:r w:rsidRPr="007078D3">
              <w:rPr>
                <w:rStyle w:val="spelle"/>
                <w:rFonts w:ascii="Times New Roman" w:hAnsi="Times New Roman" w:cs="Times New Roman"/>
                <w:sz w:val="18"/>
                <w:szCs w:val="18"/>
              </w:rPr>
              <w:t>pieszojezdne</w:t>
            </w:r>
            <w:r w:rsidRPr="007078D3">
              <w:rPr>
                <w:rFonts w:ascii="Times New Roman" w:hAnsi="Times New Roman" w:cs="Times New Roman"/>
                <w:sz w:val="18"/>
                <w:szCs w:val="18"/>
              </w:rPr>
              <w:t>,</w:t>
            </w:r>
          </w:p>
        </w:tc>
        <w:tc>
          <w:tcPr>
            <w:tcW w:w="15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ind w:left="28" w:right="-85"/>
              <w:jc w:val="center"/>
              <w:rPr>
                <w:rFonts w:ascii="Times New Roman" w:hAnsi="Times New Roman" w:cs="Times New Roman"/>
                <w:sz w:val="18"/>
                <w:szCs w:val="18"/>
              </w:rPr>
            </w:pPr>
            <w:r w:rsidRPr="007078D3">
              <w:rPr>
                <w:rFonts w:ascii="Times New Roman" w:hAnsi="Times New Roman" w:cs="Times New Roman"/>
                <w:sz w:val="18"/>
                <w:szCs w:val="18"/>
              </w:rPr>
              <w:t>KR3 - KR4</w:t>
            </w:r>
          </w:p>
        </w:tc>
        <w:tc>
          <w:tcPr>
            <w:tcW w:w="15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KR5 - KR7</w:t>
            </w:r>
          </w:p>
        </w:tc>
      </w:tr>
      <w:tr w:rsidR="0034055A" w:rsidRPr="007078D3" w:rsidTr="0034055A">
        <w:tc>
          <w:tcPr>
            <w:tcW w:w="3430"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korpusu poniżej spodu konstrukcji nawierzchni do głębokości 0,2 m lub do głębokości równej grubości warstwy ulepszonego podłoża, o ile występuje</w:t>
            </w:r>
          </w:p>
        </w:tc>
        <w:tc>
          <w:tcPr>
            <w:tcW w:w="249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1,00</w:t>
            </w:r>
          </w:p>
        </w:tc>
        <w:tc>
          <w:tcPr>
            <w:tcW w:w="15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1,00</w:t>
            </w:r>
          </w:p>
        </w:tc>
        <w:tc>
          <w:tcPr>
            <w:tcW w:w="15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1,00</w:t>
            </w:r>
          </w:p>
        </w:tc>
      </w:tr>
      <w:tr w:rsidR="0034055A" w:rsidRPr="007078D3" w:rsidTr="0034055A">
        <w:tc>
          <w:tcPr>
            <w:tcW w:w="3430"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niżej, do głębokości 0,5 m</w:t>
            </w:r>
          </w:p>
        </w:tc>
        <w:tc>
          <w:tcPr>
            <w:tcW w:w="249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0,97</w:t>
            </w:r>
          </w:p>
        </w:tc>
        <w:tc>
          <w:tcPr>
            <w:tcW w:w="15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1,00</w:t>
            </w:r>
          </w:p>
        </w:tc>
        <w:tc>
          <w:tcPr>
            <w:tcW w:w="15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1,00</w:t>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Jeżeli grunty rodzime w wykopach i miejscach zerowych nie spełniają wymaganego wskaźnika zagęszczenia, to przed ułożeniem konstrukcji nawierzchni należy je dogęścić do wartości </w:t>
      </w:r>
      <w:r w:rsidRPr="007078D3">
        <w:rPr>
          <w:rStyle w:val="spelle"/>
          <w:rFonts w:ascii="Times New Roman" w:hAnsi="Times New Roman" w:cs="Times New Roman"/>
          <w:color w:val="000000"/>
          <w:szCs w:val="20"/>
        </w:rPr>
        <w:t>I</w:t>
      </w:r>
      <w:r w:rsidRPr="007078D3">
        <w:rPr>
          <w:rStyle w:val="spelle"/>
          <w:rFonts w:ascii="Times New Roman" w:hAnsi="Times New Roman" w:cs="Times New Roman"/>
          <w:color w:val="000000"/>
          <w:szCs w:val="20"/>
          <w:vertAlign w:val="subscript"/>
        </w:rPr>
        <w:t>s</w:t>
      </w:r>
      <w:r w:rsidRPr="007078D3">
        <w:rPr>
          <w:rFonts w:ascii="Times New Roman" w:hAnsi="Times New Roman" w:cs="Times New Roman"/>
          <w:color w:val="000000"/>
          <w:szCs w:val="20"/>
        </w:rPr>
        <w:t>, podanych w tabeli 6.</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Jeżeli wartości wskaźnika zagęszczenia określone w tabeli 6 nie mogą być osiągnięte przez bezpośrednie zagęszczanie gruntów rodzimych, to należy podjąć środki w celu ulepszenia gruntu podłoża, umożliwiającego uzyskanie wymaganych wartości wskaźnika zagęszczenia. Możliwe do zastosowania środki, o ile nie są określone w ST, proponuje Wykonawca i przedstawia do akceptacji Inżynierowi.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Inżynier może dopuścić kontrolę zagęszczenia po ułożeniu i zagęszczeniu wyżej leżącej warstwy. W takiej sytuacji wyżej leżąca warstwa zostanie w niezbędnym zakresie usunięta w celu określenia osiągniętego wskaźnika zagęszczenia I</w:t>
      </w:r>
      <w:r w:rsidRPr="007078D3">
        <w:rPr>
          <w:rFonts w:ascii="Times New Roman" w:hAnsi="Times New Roman" w:cs="Times New Roman"/>
          <w:color w:val="000000"/>
          <w:szCs w:val="20"/>
          <w:vertAlign w:val="subscript"/>
        </w:rPr>
        <w:t>S</w:t>
      </w:r>
      <w:r w:rsidRPr="007078D3">
        <w:rPr>
          <w:rFonts w:ascii="Times New Roman" w:hAnsi="Times New Roman" w:cs="Times New Roman"/>
          <w:color w:val="000000"/>
          <w:szCs w:val="20"/>
        </w:rPr>
        <w:t> warstwy leżącej poniżej. Jeżeli wymagana wartość wskaźnika zagęszczenia zostanie osiągnięta, wówczas warstwa zostanie zaakceptowana. Jeżeli wartość wskaźnika zagęszczenia nie zostanie osiągnięta, wówczas ta warstwa oraz warstwa ułożona na niej, zostaną usunięte i ponownie wykonane na koszt Wykonawcy.</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Dopuszcza się ocenę stanu zagęszczenia gruntu na podstawie wartości wskaźnika odkształcenia </w:t>
      </w:r>
      <w:r w:rsidRPr="007078D3">
        <w:rPr>
          <w:rStyle w:val="spelle"/>
          <w:rFonts w:ascii="Times New Roman" w:hAnsi="Times New Roman" w:cs="Times New Roman"/>
          <w:color w:val="000000"/>
          <w:szCs w:val="20"/>
        </w:rPr>
        <w:t>Io</w:t>
      </w:r>
      <w:r w:rsidRPr="007078D3">
        <w:rPr>
          <w:rFonts w:ascii="Times New Roman" w:hAnsi="Times New Roman" w:cs="Times New Roman"/>
          <w:color w:val="000000"/>
          <w:szCs w:val="20"/>
        </w:rPr>
        <w:t xml:space="preserve"> według zasad i kryteriów określonych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„Roboty ziemne. Wymagania ogólne” w pkt.5.9.2.</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5.5.2.</w:t>
      </w:r>
      <w:r w:rsidRPr="007078D3">
        <w:rPr>
          <w:rFonts w:ascii="Times New Roman" w:hAnsi="Times New Roman" w:cs="Times New Roman"/>
          <w:color w:val="000000"/>
          <w:szCs w:val="20"/>
        </w:rPr>
        <w:t> Wymagania odnośnie do nośności podłoża gruntowego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Nośność podłoża gruntowego nawierzchni należy określić na podstawie oceny wartości wtórnego modułu odkształcenia E2 oznaczonego według zasad określonych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„Roboty ziemne. Wymagania ogólne” pkt.5.10.</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Wymagana wartość E2:</w:t>
      </w:r>
    </w:p>
    <w:p w:rsidR="0034055A" w:rsidRPr="007078D3" w:rsidRDefault="0034055A" w:rsidP="00ED04E8">
      <w:pPr>
        <w:ind w:left="240" w:hanging="240"/>
        <w:rPr>
          <w:rFonts w:ascii="Times New Roman" w:hAnsi="Times New Roman" w:cs="Times New Roman"/>
          <w:color w:val="000000"/>
          <w:szCs w:val="20"/>
        </w:rPr>
      </w:pPr>
      <w:r w:rsidRPr="007078D3">
        <w:rPr>
          <w:rFonts w:ascii="Times New Roman" w:hAnsi="Times New Roman" w:cs="Times New Roman"/>
          <w:color w:val="000000"/>
          <w:szCs w:val="20"/>
        </w:rPr>
        <w:t>- dla ruchu KR3 - KR7, musi być określona przez projektanta w dokumentacji projektowej, przy czym minimalna wartość E2 na górnej powierzchni podłoża gruntowego nawierzchni w wykopie wynosi 50 </w:t>
      </w:r>
      <w:r w:rsidRPr="007078D3">
        <w:rPr>
          <w:rStyle w:val="spelle"/>
          <w:rFonts w:ascii="Times New Roman" w:hAnsi="Times New Roman" w:cs="Times New Roman"/>
          <w:color w:val="000000"/>
          <w:szCs w:val="20"/>
        </w:rPr>
        <w:t>MPa</w:t>
      </w:r>
      <w:r w:rsidRPr="007078D3">
        <w:rPr>
          <w:rFonts w:ascii="Times New Roman" w:hAnsi="Times New Roman" w:cs="Times New Roman"/>
          <w:color w:val="000000"/>
          <w:szCs w:val="20"/>
        </w:rPr>
        <w:t>. W dokumentacji projektowej może zostać określona wyższa wartość E2, jeżeli została ona przyjęta w projekcie konstrukcji nawierzchni,</w:t>
      </w:r>
    </w:p>
    <w:p w:rsidR="0034055A" w:rsidRPr="007078D3" w:rsidRDefault="0034055A" w:rsidP="00ED04E8">
      <w:pPr>
        <w:ind w:left="240" w:hanging="240"/>
        <w:rPr>
          <w:rFonts w:ascii="Times New Roman" w:hAnsi="Times New Roman" w:cs="Times New Roman"/>
          <w:color w:val="000000"/>
          <w:szCs w:val="20"/>
        </w:rPr>
      </w:pPr>
      <w:r w:rsidRPr="007078D3">
        <w:rPr>
          <w:rFonts w:ascii="Times New Roman" w:hAnsi="Times New Roman" w:cs="Times New Roman"/>
          <w:color w:val="000000"/>
          <w:szCs w:val="20"/>
        </w:rPr>
        <w:t>- dla ruchu KR1 – KR2 minimalna wartość E2 na górnej powierzchni podłoża gruntowego nawierzchni musi być określona przez projektanta w dokumentacji projektowej.</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Jeżeli zaprojektowano wykonanie warstwy ulepszonego podłoża to należy określić nośność gruntu rodzimego pod tą warstwą. Wymagana wartość E2 gruntu rodzimego musi być określona przez projektanta w dokumentacji projektowej. Stwierdzona wartość E2 nie może być mniejsza niż przyjęta w dokumentacji projektowej. Jeżeli stwierdzona wartość E2 jest mniejsza od wymaganej wówczas Wykonawca zaproponuje do akceptacji Inżyniera  sposób uzyskania wymaganej nośności.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Jeżeli w dokumentacji projektowej użyto pojęcia „grupa nośności podłoża” w celu określenia nośności gruntu rodzimego, to wartości wtórnego modułu odkształcenia E2 na powierzchni gruntu rodzimego nie mogą być mniejsze niż podano w tabeli 7.</w:t>
      </w:r>
    </w:p>
    <w:p w:rsidR="0034055A" w:rsidRPr="007078D3" w:rsidRDefault="0034055A" w:rsidP="00ED04E8">
      <w:pPr>
        <w:pStyle w:val="Legenda"/>
        <w:spacing w:before="0" w:beforeAutospacing="0" w:after="0" w:afterAutospacing="0"/>
        <w:jc w:val="both"/>
        <w:rPr>
          <w:color w:val="000000"/>
          <w:sz w:val="20"/>
          <w:szCs w:val="20"/>
        </w:rPr>
      </w:pPr>
      <w:bookmarkStart w:id="239" w:name="_Toc24581330"/>
      <w:r w:rsidRPr="007078D3">
        <w:rPr>
          <w:color w:val="000000"/>
          <w:sz w:val="20"/>
          <w:szCs w:val="20"/>
        </w:rPr>
        <w:t>Tabela </w:t>
      </w:r>
      <w:bookmarkEnd w:id="239"/>
      <w:r w:rsidRPr="007078D3">
        <w:rPr>
          <w:color w:val="000000"/>
          <w:sz w:val="20"/>
          <w:szCs w:val="20"/>
        </w:rPr>
        <w:t>7. Minimalne wartości wtórnego modułu odkształcenia E2 na powierzchni gruntu rodzimego w zależności od grupy nośności podłoża G</w:t>
      </w:r>
    </w:p>
    <w:tbl>
      <w:tblPr>
        <w:tblW w:w="0" w:type="auto"/>
        <w:tblInd w:w="113" w:type="dxa"/>
        <w:shd w:val="clear" w:color="auto" w:fill="EAEAEA"/>
        <w:tblCellMar>
          <w:left w:w="0" w:type="dxa"/>
          <w:right w:w="0" w:type="dxa"/>
        </w:tblCellMar>
        <w:tblLook w:val="04A0"/>
      </w:tblPr>
      <w:tblGrid>
        <w:gridCol w:w="663"/>
        <w:gridCol w:w="2656"/>
        <w:gridCol w:w="2096"/>
      </w:tblGrid>
      <w:tr w:rsidR="0034055A" w:rsidRPr="007078D3" w:rsidTr="0034055A">
        <w:tc>
          <w:tcPr>
            <w:tcW w:w="663" w:type="dxa"/>
            <w:tcBorders>
              <w:top w:val="single" w:sz="8" w:space="0" w:color="auto"/>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Lp.</w:t>
            </w:r>
          </w:p>
        </w:tc>
        <w:tc>
          <w:tcPr>
            <w:tcW w:w="2656" w:type="dxa"/>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Grupa nośności podłoża</w:t>
            </w:r>
          </w:p>
        </w:tc>
        <w:tc>
          <w:tcPr>
            <w:tcW w:w="2096" w:type="dxa"/>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Wartość E</w:t>
            </w:r>
            <w:r w:rsidRPr="007078D3">
              <w:rPr>
                <w:rFonts w:ascii="Times New Roman" w:hAnsi="Times New Roman" w:cs="Times New Roman"/>
                <w:sz w:val="18"/>
                <w:szCs w:val="18"/>
                <w:vertAlign w:val="subscript"/>
              </w:rPr>
              <w:t>2</w:t>
            </w:r>
            <w:r w:rsidRPr="007078D3">
              <w:rPr>
                <w:rFonts w:ascii="Times New Roman" w:hAnsi="Times New Roman" w:cs="Times New Roman"/>
                <w:sz w:val="18"/>
                <w:szCs w:val="18"/>
              </w:rPr>
              <w:t> [</w:t>
            </w:r>
            <w:r w:rsidRPr="007078D3">
              <w:rPr>
                <w:rStyle w:val="spelle"/>
                <w:rFonts w:ascii="Times New Roman" w:hAnsi="Times New Roman" w:cs="Times New Roman"/>
                <w:sz w:val="18"/>
                <w:szCs w:val="18"/>
              </w:rPr>
              <w:t>MPa</w:t>
            </w:r>
            <w:r w:rsidRPr="007078D3">
              <w:rPr>
                <w:rFonts w:ascii="Times New Roman" w:hAnsi="Times New Roman" w:cs="Times New Roman"/>
                <w:sz w:val="18"/>
                <w:szCs w:val="18"/>
              </w:rPr>
              <w:t>]</w:t>
            </w:r>
          </w:p>
        </w:tc>
      </w:tr>
      <w:tr w:rsidR="0034055A" w:rsidRPr="007078D3" w:rsidTr="0034055A">
        <w:tc>
          <w:tcPr>
            <w:tcW w:w="663"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lastRenderedPageBreak/>
              <w:t>1</w:t>
            </w:r>
          </w:p>
        </w:tc>
        <w:tc>
          <w:tcPr>
            <w:tcW w:w="2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G1</w:t>
            </w:r>
          </w:p>
        </w:tc>
        <w:tc>
          <w:tcPr>
            <w:tcW w:w="209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80</w:t>
            </w:r>
          </w:p>
        </w:tc>
      </w:tr>
      <w:tr w:rsidR="0034055A" w:rsidRPr="007078D3" w:rsidTr="0034055A">
        <w:tc>
          <w:tcPr>
            <w:tcW w:w="663"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2</w:t>
            </w:r>
          </w:p>
        </w:tc>
        <w:tc>
          <w:tcPr>
            <w:tcW w:w="2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G2</w:t>
            </w:r>
          </w:p>
        </w:tc>
        <w:tc>
          <w:tcPr>
            <w:tcW w:w="209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50</w:t>
            </w:r>
          </w:p>
        </w:tc>
      </w:tr>
      <w:tr w:rsidR="0034055A" w:rsidRPr="007078D3" w:rsidTr="0034055A">
        <w:tc>
          <w:tcPr>
            <w:tcW w:w="663"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3</w:t>
            </w:r>
          </w:p>
        </w:tc>
        <w:tc>
          <w:tcPr>
            <w:tcW w:w="2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G3</w:t>
            </w:r>
          </w:p>
        </w:tc>
        <w:tc>
          <w:tcPr>
            <w:tcW w:w="209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35</w:t>
            </w:r>
          </w:p>
        </w:tc>
      </w:tr>
      <w:tr w:rsidR="0034055A" w:rsidRPr="007078D3" w:rsidTr="0034055A">
        <w:tc>
          <w:tcPr>
            <w:tcW w:w="663"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4</w:t>
            </w:r>
          </w:p>
        </w:tc>
        <w:tc>
          <w:tcPr>
            <w:tcW w:w="2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G4</w:t>
            </w:r>
          </w:p>
        </w:tc>
        <w:tc>
          <w:tcPr>
            <w:tcW w:w="209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25</w:t>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Za zgodą Inżyniera dopuszcza się badanie nośności podłoża z zastosowaniem lekkiej płyty dynamicznej, zgodnie z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Roboty ziemne. Wymagania ogólne., pkt.5.10.</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240" w:name="_Toc407161225"/>
      <w:r w:rsidRPr="007078D3">
        <w:rPr>
          <w:rFonts w:ascii="Times New Roman" w:hAnsi="Times New Roman"/>
          <w:color w:val="000000"/>
          <w:szCs w:val="20"/>
        </w:rPr>
        <w:t>5.6. Ruch budowlany</w:t>
      </w:r>
      <w:bookmarkEnd w:id="240"/>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Nie należy dopuszczać ruchu budowlanego po dnie wykopu o ile grubość warstwy gruntu (nadkładu) powyżej rzędnych robót ziemnych jest mniejsza niż 0,3 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Z chwilą przystąpienia do ostatecznego profilowania dna wykopu dopuszcza się po nim jedynie ruch maszyn wykonujących tę czynność budowlaną. Może odbywać się jedynie sporadyczny ruch pojazdów, które nie spowodują uszkodzeń powierzchni korpusu.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Naprawa uszkodzeń powierzchni robót ziemnych, wynikających z niedotrzymania podanych powyżej warunków obciąża Wykonawcę robót ziemnych.</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5.7. Postępowanie z materiałem gruntowym z wykopu</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Materiał gruntowy pochodzący z wykopu powinien zostać wykorzystany w maksymalnym stopniu zgodnie z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pkt.5.6., a jego przydatność do budowy nasypów powinna zostać określona na podstawie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pkt. 2.2.</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241" w:name="_Toc17408026"/>
      <w:bookmarkStart w:id="242" w:name="_Toc17407907"/>
      <w:bookmarkStart w:id="243" w:name="_Toc17407783"/>
      <w:bookmarkStart w:id="244" w:name="_Toc17407548"/>
      <w:bookmarkStart w:id="245" w:name="_Toc419000104"/>
      <w:bookmarkStart w:id="246" w:name="_Toc418998859"/>
      <w:bookmarkStart w:id="247" w:name="_Toc418998503"/>
      <w:bookmarkStart w:id="248" w:name="_Toc418997093"/>
      <w:bookmarkStart w:id="249" w:name="_Toc418996706"/>
      <w:bookmarkStart w:id="250" w:name="_Toc418996337"/>
      <w:bookmarkStart w:id="251" w:name="_Toc418994930"/>
      <w:bookmarkStart w:id="252" w:name="_Toc407161226"/>
      <w:bookmarkStart w:id="253" w:name="_6._Kontrola_jakości_1"/>
      <w:bookmarkEnd w:id="241"/>
      <w:bookmarkEnd w:id="242"/>
      <w:bookmarkEnd w:id="243"/>
      <w:bookmarkEnd w:id="244"/>
      <w:bookmarkEnd w:id="245"/>
      <w:bookmarkEnd w:id="246"/>
      <w:bookmarkEnd w:id="247"/>
      <w:bookmarkEnd w:id="248"/>
      <w:bookmarkEnd w:id="249"/>
      <w:bookmarkEnd w:id="250"/>
      <w:bookmarkEnd w:id="251"/>
      <w:bookmarkEnd w:id="252"/>
      <w:bookmarkEnd w:id="253"/>
      <w:r w:rsidRPr="007078D3">
        <w:rPr>
          <w:rFonts w:ascii="Times New Roman" w:hAnsi="Times New Roman"/>
          <w:caps/>
          <w:color w:val="000000"/>
          <w:szCs w:val="20"/>
        </w:rPr>
        <w:t>6. KONTROLA JAKOŚCI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254" w:name="_Toc407161227"/>
      <w:r w:rsidRPr="007078D3">
        <w:rPr>
          <w:rFonts w:ascii="Times New Roman" w:hAnsi="Times New Roman"/>
          <w:color w:val="000000"/>
          <w:szCs w:val="20"/>
        </w:rPr>
        <w:t>6.1. Ogólne zasady kontroli jakości robót</w:t>
      </w:r>
      <w:bookmarkEnd w:id="254"/>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kontroli jakości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6.</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255" w:name="_Toc407161228"/>
      <w:r w:rsidRPr="007078D3">
        <w:rPr>
          <w:rFonts w:ascii="Times New Roman" w:hAnsi="Times New Roman"/>
          <w:color w:val="000000"/>
          <w:szCs w:val="20"/>
        </w:rPr>
        <w:t>6.2. Kontrola wykonania wykopów</w:t>
      </w:r>
      <w:bookmarkEnd w:id="255"/>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Kontrola wykonania wykopów polega na sprawdzeniu zgodności z wymaganiami określonymi w dokumentacji projektowej i ST. W czasie kontroli szczególną uwagę należy zwrócić na: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sposób odspajania gruntów nie pogarszający ich właściwości,</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zapewnienie stateczności skarp,</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c)    odwodnienie wykopów w czasie wykonywania robót i po ich zakończeniu,</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d)   dokładność wykonania wykopów (usytuowanie i wykończenie),</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e)    zagęszczenie górnej strefy korpusu w wykopie według wymagań określonych w </w:t>
      </w:r>
      <w:r w:rsidRPr="007078D3">
        <w:rPr>
          <w:rStyle w:val="spelle"/>
          <w:rFonts w:ascii="Times New Roman" w:hAnsi="Times New Roman" w:cs="Times New Roman"/>
          <w:color w:val="000000"/>
          <w:szCs w:val="20"/>
        </w:rPr>
        <w:t>pkcie</w:t>
      </w:r>
      <w:r w:rsidRPr="007078D3">
        <w:rPr>
          <w:rFonts w:ascii="Times New Roman" w:hAnsi="Times New Roman" w:cs="Times New Roman"/>
          <w:color w:val="000000"/>
          <w:szCs w:val="20"/>
        </w:rPr>
        <w:t> 5.2.</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W czasie realizacji robót Wykonawca ma obowiązek kontrolować przydatność gruntów, skał lub materiałów pozyskiwanych z wykopu do budowy nasypu, z uwzględnieniem wymagań określonych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„Roboty ziemne. Wymagania ogólne”, punkt 2 oraz w dokumentacji projektowej.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6.3.Badania i pomiary do odbioru wykopów</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Badania do odbioru korpusu ziemnego należy wykonać według zasad i wymagań oraz z częstotliwością określoną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„Roboty ziemne. Wymagania ogólne”, punkt 6 i wymagań określonych w punkcie 5 niniejszej </w:t>
      </w:r>
      <w:r w:rsidR="00985629">
        <w:rPr>
          <w:rFonts w:ascii="Times New Roman" w:hAnsi="Times New Roman" w:cs="Times New Roman"/>
          <w:color w:val="000000"/>
          <w:szCs w:val="20"/>
        </w:rPr>
        <w:t>SST</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256" w:name="_Toc407161229"/>
      <w:bookmarkStart w:id="257" w:name="_Toc17408027"/>
      <w:bookmarkStart w:id="258" w:name="_Toc17407908"/>
      <w:bookmarkStart w:id="259" w:name="_Toc17407784"/>
      <w:bookmarkStart w:id="260" w:name="_Toc17407549"/>
      <w:bookmarkStart w:id="261" w:name="_Toc419000105"/>
      <w:bookmarkStart w:id="262" w:name="_Toc418998860"/>
      <w:bookmarkStart w:id="263" w:name="_Toc418998504"/>
      <w:bookmarkStart w:id="264" w:name="_Toc418997094"/>
      <w:bookmarkStart w:id="265" w:name="_Toc418996707"/>
      <w:bookmarkStart w:id="266" w:name="_Toc418996338"/>
      <w:bookmarkStart w:id="267" w:name="_Toc418994931"/>
      <w:bookmarkEnd w:id="256"/>
      <w:bookmarkEnd w:id="257"/>
      <w:bookmarkEnd w:id="258"/>
      <w:bookmarkEnd w:id="259"/>
      <w:bookmarkEnd w:id="260"/>
      <w:bookmarkEnd w:id="261"/>
      <w:bookmarkEnd w:id="262"/>
      <w:bookmarkEnd w:id="263"/>
      <w:bookmarkEnd w:id="264"/>
      <w:bookmarkEnd w:id="265"/>
      <w:bookmarkEnd w:id="266"/>
      <w:bookmarkEnd w:id="267"/>
      <w:r w:rsidRPr="007078D3">
        <w:rPr>
          <w:rFonts w:ascii="Times New Roman" w:hAnsi="Times New Roman"/>
          <w:caps/>
          <w:color w:val="000000"/>
          <w:szCs w:val="20"/>
        </w:rPr>
        <w:t>7. OBMIAR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268" w:name="_Toc407161230"/>
      <w:r w:rsidRPr="007078D3">
        <w:rPr>
          <w:rFonts w:ascii="Times New Roman" w:hAnsi="Times New Roman"/>
          <w:color w:val="000000"/>
          <w:szCs w:val="20"/>
        </w:rPr>
        <w:t>7.1. Ogólne zasady obmiaru robót</w:t>
      </w:r>
      <w:bookmarkEnd w:id="268"/>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obmiaru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7.</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269" w:name="_Toc407161231"/>
      <w:r w:rsidRPr="007078D3">
        <w:rPr>
          <w:rFonts w:ascii="Times New Roman" w:hAnsi="Times New Roman"/>
          <w:color w:val="000000"/>
          <w:szCs w:val="20"/>
        </w:rPr>
        <w:t>7.2. Jednostka obmiarowa</w:t>
      </w:r>
      <w:bookmarkEnd w:id="269"/>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Jednostką obmiarową jest m</w:t>
      </w:r>
      <w:r w:rsidRPr="007078D3">
        <w:rPr>
          <w:rFonts w:ascii="Times New Roman" w:hAnsi="Times New Roman" w:cs="Times New Roman"/>
          <w:color w:val="000000"/>
          <w:szCs w:val="20"/>
          <w:vertAlign w:val="superscript"/>
        </w:rPr>
        <w:t>3</w:t>
      </w:r>
      <w:r w:rsidRPr="007078D3">
        <w:rPr>
          <w:rFonts w:ascii="Times New Roman" w:hAnsi="Times New Roman" w:cs="Times New Roman"/>
          <w:color w:val="000000"/>
          <w:szCs w:val="20"/>
        </w:rPr>
        <w:t> (metr sześcienny) wykonanego wykopu</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270" w:name="_Toc17408028"/>
      <w:bookmarkStart w:id="271" w:name="_Toc17407909"/>
      <w:bookmarkStart w:id="272" w:name="_Toc17407785"/>
      <w:bookmarkStart w:id="273" w:name="_Toc17407550"/>
      <w:bookmarkStart w:id="274" w:name="_Toc419000106"/>
      <w:bookmarkStart w:id="275" w:name="_Toc418998861"/>
      <w:bookmarkStart w:id="276" w:name="_Toc418998505"/>
      <w:bookmarkStart w:id="277" w:name="_Toc418997095"/>
      <w:bookmarkStart w:id="278" w:name="_Toc418996708"/>
      <w:bookmarkStart w:id="279" w:name="_Toc418996339"/>
      <w:bookmarkStart w:id="280" w:name="_Toc418994932"/>
      <w:bookmarkStart w:id="281" w:name="_Toc407161232"/>
      <w:bookmarkStart w:id="282" w:name="_8._Odbiór_robót_1"/>
      <w:bookmarkEnd w:id="270"/>
      <w:bookmarkEnd w:id="271"/>
      <w:bookmarkEnd w:id="272"/>
      <w:bookmarkEnd w:id="273"/>
      <w:bookmarkEnd w:id="274"/>
      <w:bookmarkEnd w:id="275"/>
      <w:bookmarkEnd w:id="276"/>
      <w:bookmarkEnd w:id="277"/>
      <w:bookmarkEnd w:id="278"/>
      <w:bookmarkEnd w:id="279"/>
      <w:bookmarkEnd w:id="280"/>
      <w:bookmarkEnd w:id="281"/>
      <w:bookmarkEnd w:id="282"/>
      <w:r w:rsidRPr="007078D3">
        <w:rPr>
          <w:rFonts w:ascii="Times New Roman" w:hAnsi="Times New Roman"/>
          <w:caps/>
          <w:color w:val="000000"/>
          <w:szCs w:val="20"/>
        </w:rPr>
        <w:t>8. ODBIÓR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odbioru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8.</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283" w:name="_Toc17408029"/>
      <w:bookmarkStart w:id="284" w:name="_Toc17407910"/>
      <w:bookmarkStart w:id="285" w:name="_Toc17407786"/>
      <w:bookmarkStart w:id="286" w:name="_Toc17407551"/>
      <w:bookmarkStart w:id="287" w:name="_Toc419000107"/>
      <w:bookmarkStart w:id="288" w:name="_Toc418998862"/>
      <w:bookmarkStart w:id="289" w:name="_Toc418998506"/>
      <w:bookmarkStart w:id="290" w:name="_Toc418997096"/>
      <w:bookmarkStart w:id="291" w:name="_Toc418996709"/>
      <w:bookmarkStart w:id="292" w:name="_Toc418996340"/>
      <w:bookmarkStart w:id="293" w:name="_Toc418994933"/>
      <w:bookmarkStart w:id="294" w:name="_Toc407161233"/>
      <w:bookmarkStart w:id="295" w:name="_9._Podstawa_płatności_1"/>
      <w:bookmarkEnd w:id="283"/>
      <w:bookmarkEnd w:id="284"/>
      <w:bookmarkEnd w:id="285"/>
      <w:bookmarkEnd w:id="286"/>
      <w:bookmarkEnd w:id="287"/>
      <w:bookmarkEnd w:id="288"/>
      <w:bookmarkEnd w:id="289"/>
      <w:bookmarkEnd w:id="290"/>
      <w:bookmarkEnd w:id="291"/>
      <w:bookmarkEnd w:id="292"/>
      <w:bookmarkEnd w:id="293"/>
      <w:bookmarkEnd w:id="294"/>
      <w:bookmarkEnd w:id="295"/>
      <w:r w:rsidRPr="007078D3">
        <w:rPr>
          <w:rFonts w:ascii="Times New Roman" w:hAnsi="Times New Roman"/>
          <w:caps/>
          <w:color w:val="000000"/>
          <w:szCs w:val="20"/>
        </w:rPr>
        <w:t>9. PODSTAWA PŁATNOŚCI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296" w:name="_Toc407161234"/>
      <w:r w:rsidRPr="007078D3">
        <w:rPr>
          <w:rFonts w:ascii="Times New Roman" w:hAnsi="Times New Roman"/>
          <w:color w:val="000000"/>
          <w:szCs w:val="20"/>
        </w:rPr>
        <w:t>9.1. Ogólne ustalenia dotyczące podstawy płatności</w:t>
      </w:r>
      <w:bookmarkEnd w:id="296"/>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ustalenia dotyczące podstawy płatności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9.</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297" w:name="_Toc407161235"/>
      <w:r w:rsidRPr="007078D3">
        <w:rPr>
          <w:rFonts w:ascii="Times New Roman" w:hAnsi="Times New Roman"/>
          <w:color w:val="000000"/>
          <w:szCs w:val="20"/>
        </w:rPr>
        <w:t>9.2. Cena jednostki obmiarowej</w:t>
      </w:r>
      <w:bookmarkEnd w:id="297"/>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Cena wykonania 1 m</w:t>
      </w:r>
      <w:r w:rsidRPr="007078D3">
        <w:rPr>
          <w:rFonts w:ascii="Times New Roman" w:hAnsi="Times New Roman" w:cs="Times New Roman"/>
          <w:color w:val="000000"/>
          <w:szCs w:val="20"/>
          <w:vertAlign w:val="superscript"/>
        </w:rPr>
        <w:t>3</w:t>
      </w:r>
      <w:r w:rsidRPr="007078D3">
        <w:rPr>
          <w:rFonts w:ascii="Times New Roman" w:hAnsi="Times New Roman" w:cs="Times New Roman"/>
          <w:color w:val="000000"/>
          <w:szCs w:val="20"/>
        </w:rPr>
        <w:t> wykopów w gruntach </w:t>
      </w:r>
      <w:r w:rsidRPr="007078D3">
        <w:rPr>
          <w:rStyle w:val="spelle"/>
          <w:rFonts w:ascii="Times New Roman" w:hAnsi="Times New Roman" w:cs="Times New Roman"/>
          <w:color w:val="000000"/>
          <w:szCs w:val="20"/>
        </w:rPr>
        <w:t>nieskalistych</w:t>
      </w:r>
      <w:r w:rsidRPr="007078D3">
        <w:rPr>
          <w:rFonts w:ascii="Times New Roman" w:hAnsi="Times New Roman" w:cs="Times New Roman"/>
          <w:color w:val="000000"/>
          <w:szCs w:val="20"/>
        </w:rPr>
        <w:t> obejmuje: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prace pomiarowe i roboty przygotowawcze,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oznakowanie robót,</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wykonanie wykopu z transportem urobku na nasyp lub odkład, obejmujące: odspojenie, przemieszczenie, załadunek, przewiezienie i wyładunek,</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odwodnienie wykopu na czas jego wykonywania,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profilowanie dna wykopu, rowów, skarp,</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zagęszczenie powierzchni wykopu,</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przeprowadzenie pomiarów i badań laboratoryjnych, wymaganych w specyfikacji technicznej,</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rozplantowanie urobku na odkładzie,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wykonanie, a następnie rozebranie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dojazdowych,</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rekultywację terenu.         </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298" w:name="_Toc17408030"/>
      <w:bookmarkStart w:id="299" w:name="_Toc17407911"/>
      <w:bookmarkStart w:id="300" w:name="_Toc17407787"/>
      <w:bookmarkStart w:id="301" w:name="_Toc17407552"/>
      <w:bookmarkStart w:id="302" w:name="_Toc419000108"/>
      <w:bookmarkStart w:id="303" w:name="_Toc418998863"/>
      <w:bookmarkStart w:id="304" w:name="_Toc418998507"/>
      <w:bookmarkStart w:id="305" w:name="_Toc418997097"/>
      <w:bookmarkStart w:id="306" w:name="_Toc418996710"/>
      <w:bookmarkStart w:id="307" w:name="_Toc418996341"/>
      <w:bookmarkStart w:id="308" w:name="_Toc418994934"/>
      <w:bookmarkStart w:id="309" w:name="_Toc407161236"/>
      <w:bookmarkStart w:id="310" w:name="_10._Przepisy_związane_1"/>
      <w:bookmarkEnd w:id="298"/>
      <w:bookmarkEnd w:id="299"/>
      <w:bookmarkEnd w:id="300"/>
      <w:bookmarkEnd w:id="301"/>
      <w:bookmarkEnd w:id="302"/>
      <w:bookmarkEnd w:id="303"/>
      <w:bookmarkEnd w:id="304"/>
      <w:bookmarkEnd w:id="305"/>
      <w:bookmarkEnd w:id="306"/>
      <w:bookmarkEnd w:id="307"/>
      <w:bookmarkEnd w:id="308"/>
      <w:bookmarkEnd w:id="309"/>
      <w:bookmarkEnd w:id="310"/>
      <w:r w:rsidRPr="007078D3">
        <w:rPr>
          <w:rFonts w:ascii="Times New Roman" w:hAnsi="Times New Roman"/>
          <w:caps/>
          <w:color w:val="000000"/>
          <w:szCs w:val="20"/>
        </w:rPr>
        <w:t>10. PRZEPISY ZWIĄZANE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Spis przepisów związanych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D-02.00.01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10.</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Pr="007078D3" w:rsidRDefault="00D1096E" w:rsidP="00ED04E8">
      <w:pPr>
        <w:rPr>
          <w:rFonts w:ascii="Times New Roman" w:hAnsi="Times New Roman" w:cs="Times New Roman"/>
          <w:szCs w:val="20"/>
        </w:rPr>
      </w:pPr>
    </w:p>
    <w:p w:rsidR="00D1096E" w:rsidRDefault="00D1096E" w:rsidP="00ED04E8">
      <w:pPr>
        <w:rPr>
          <w:rFonts w:ascii="Times New Roman" w:hAnsi="Times New Roman" w:cs="Times New Roman"/>
          <w:szCs w:val="20"/>
        </w:rPr>
      </w:pPr>
    </w:p>
    <w:p w:rsidR="00290322" w:rsidRDefault="00290322" w:rsidP="00ED04E8">
      <w:pPr>
        <w:rPr>
          <w:rFonts w:ascii="Times New Roman" w:hAnsi="Times New Roman" w:cs="Times New Roman"/>
          <w:szCs w:val="20"/>
        </w:rPr>
      </w:pPr>
    </w:p>
    <w:p w:rsidR="00290322" w:rsidRDefault="00290322" w:rsidP="00ED04E8">
      <w:pPr>
        <w:rPr>
          <w:rFonts w:ascii="Times New Roman" w:hAnsi="Times New Roman" w:cs="Times New Roman"/>
          <w:szCs w:val="20"/>
        </w:rPr>
      </w:pPr>
    </w:p>
    <w:p w:rsidR="00D51F32" w:rsidRPr="007078D3" w:rsidRDefault="00D51F32" w:rsidP="00ED04E8">
      <w:pPr>
        <w:pStyle w:val="Bezodstpw"/>
        <w:spacing w:line="240" w:lineRule="auto"/>
        <w:rPr>
          <w:rFonts w:ascii="Times New Roman" w:hAnsi="Times New Roman" w:cs="Times New Roman"/>
          <w:sz w:val="20"/>
          <w:szCs w:val="20"/>
          <w:lang w:eastAsia="pl-PL"/>
        </w:rPr>
      </w:pPr>
    </w:p>
    <w:p w:rsidR="00901974" w:rsidRPr="007078D3" w:rsidRDefault="00901974" w:rsidP="00ED04E8">
      <w:pPr>
        <w:pStyle w:val="Bezodstpw"/>
        <w:spacing w:line="240" w:lineRule="auto"/>
        <w:rPr>
          <w:rFonts w:ascii="Times New Roman" w:hAnsi="Times New Roman" w:cs="Times New Roman"/>
          <w:sz w:val="20"/>
          <w:szCs w:val="20"/>
          <w:lang w:eastAsia="pl-PL"/>
        </w:rPr>
      </w:pPr>
      <w:bookmarkStart w:id="311" w:name="_Toc221170389"/>
      <w:r w:rsidRPr="007078D3">
        <w:rPr>
          <w:rFonts w:ascii="Times New Roman" w:hAnsi="Times New Roman" w:cs="Times New Roman"/>
          <w:sz w:val="20"/>
          <w:szCs w:val="20"/>
          <w:lang w:eastAsia="pl-PL"/>
        </w:rPr>
        <w:t>D-04.01.01 KORYTO  WRAZ  Z  PROFILOWANIEM I  ZAGĘSZCZANIEM  PODŁOŻA</w:t>
      </w:r>
      <w:bookmarkEnd w:id="311"/>
    </w:p>
    <w:p w:rsidR="00901974" w:rsidRPr="007078D3" w:rsidRDefault="00901974" w:rsidP="00ED04E8">
      <w:pPr>
        <w:pStyle w:val="Bezodstpw"/>
        <w:spacing w:line="240" w:lineRule="auto"/>
        <w:rPr>
          <w:rFonts w:ascii="Times New Roman" w:hAnsi="Times New Roman" w:cs="Times New Roman"/>
          <w:sz w:val="20"/>
          <w:szCs w:val="20"/>
          <w:lang w:eastAsia="pl-PL"/>
        </w:rPr>
      </w:pP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r w:rsidRPr="007078D3">
        <w:rPr>
          <w:rFonts w:ascii="Times New Roman" w:hAnsi="Times New Roman"/>
          <w:caps/>
          <w:color w:val="000000"/>
          <w:szCs w:val="20"/>
        </w:rPr>
        <w:t>1. WSTĘP</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 xml:space="preserve">1.1. Przedmiot </w:t>
      </w:r>
      <w:r w:rsidR="00985629">
        <w:rPr>
          <w:rFonts w:ascii="Times New Roman" w:hAnsi="Times New Roman"/>
          <w:color w:val="000000"/>
          <w:szCs w:val="20"/>
        </w:rPr>
        <w:t>SST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Przedmiotem niniejszej specyfikacji technicznej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są wymagania dotyczące wykonania i odbioru robót związanych z wykonywaniem koryta wraz z profilowaniem i zagęszczaniem podłoża gruntowego.</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 xml:space="preserve">1.2. Zakres stosowania </w:t>
      </w:r>
      <w:r w:rsidR="00985629">
        <w:rPr>
          <w:rFonts w:ascii="Times New Roman" w:hAnsi="Times New Roman"/>
          <w:color w:val="000000"/>
          <w:szCs w:val="20"/>
        </w:rPr>
        <w:t>SST</w:t>
      </w:r>
    </w:p>
    <w:p w:rsidR="007078D3" w:rsidRPr="00385DEF" w:rsidRDefault="0034055A" w:rsidP="00ED04E8">
      <w:r w:rsidRPr="007078D3">
        <w:rPr>
          <w:rFonts w:ascii="Times New Roman" w:hAnsi="Times New Roman" w:cs="Times New Roman"/>
          <w:color w:val="000000"/>
          <w:szCs w:val="20"/>
        </w:rPr>
        <w:t xml:space="preserve">            </w:t>
      </w:r>
      <w:r w:rsidR="007078D3" w:rsidRPr="00385DEF">
        <w:t>Szczegółowa specyfikacja techniczna dotyczy robót wyszczególnionych w punkcie 1.3.</w:t>
      </w:r>
    </w:p>
    <w:p w:rsidR="0034055A" w:rsidRPr="007078D3" w:rsidRDefault="0034055A" w:rsidP="00ED04E8">
      <w:pPr>
        <w:rPr>
          <w:rFonts w:ascii="Times New Roman" w:hAnsi="Times New Roman" w:cs="Times New Roman"/>
          <w:color w:val="000000"/>
          <w:szCs w:val="20"/>
        </w:rPr>
      </w:pP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 xml:space="preserve">1.3. Zakres robót objętych </w:t>
      </w:r>
      <w:r w:rsidR="00985629">
        <w:rPr>
          <w:rFonts w:ascii="Times New Roman" w:hAnsi="Times New Roman"/>
          <w:color w:val="000000"/>
          <w:szCs w:val="20"/>
        </w:rPr>
        <w:t>SST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Ustalenia zawarte w niniejszej specyfikacji dotyczą zasad prowadzenia robót związanych z wykonaniem koryta przeznaczonego do ułożenia konstrukcji nawierzchni.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312" w:name="_Toc407086009"/>
      <w:bookmarkStart w:id="313" w:name="_Toc405704476"/>
      <w:bookmarkStart w:id="314" w:name="_Toc405780137"/>
      <w:bookmarkStart w:id="315" w:name="_Toc406295849"/>
      <w:bookmarkStart w:id="316" w:name="_Toc406913838"/>
      <w:bookmarkStart w:id="317" w:name="_Toc406914083"/>
      <w:bookmarkStart w:id="318" w:name="_Toc406914741"/>
      <w:bookmarkStart w:id="319" w:name="_Toc406915319"/>
      <w:bookmarkStart w:id="320" w:name="_Toc406984012"/>
      <w:bookmarkStart w:id="321" w:name="_Toc406984159"/>
      <w:bookmarkStart w:id="322" w:name="_Toc406984350"/>
      <w:bookmarkStart w:id="323" w:name="_Toc407069558"/>
      <w:bookmarkStart w:id="324" w:name="_Toc407081523"/>
      <w:bookmarkStart w:id="325" w:name="_Toc407083322"/>
      <w:bookmarkStart w:id="326" w:name="_Toc407084156"/>
      <w:bookmarkStart w:id="327" w:name="_Toc407085275"/>
      <w:bookmarkStart w:id="328" w:name="_Toc407085418"/>
      <w:bookmarkStart w:id="329" w:name="_Toc40708556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7078D3">
        <w:rPr>
          <w:rFonts w:ascii="Times New Roman" w:hAnsi="Times New Roman"/>
          <w:color w:val="000000"/>
          <w:szCs w:val="20"/>
        </w:rPr>
        <w:t>1.4. Określenia podstawowe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Określenia podstawowe są zgodne z obowiązującymi, odpowiednimi polskimi normami i definicjami podanymi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pkt 1.4.</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1.4.1.</w:t>
      </w:r>
      <w:r w:rsidRPr="007078D3">
        <w:rPr>
          <w:rFonts w:ascii="Times New Roman" w:hAnsi="Times New Roman" w:cs="Times New Roman"/>
          <w:color w:val="000000"/>
          <w:szCs w:val="20"/>
        </w:rPr>
        <w:t> Koryto drogowe – wykop uformowany w korpusie drogowym w celu ułożenia w nim konstrukcji nawierzchni.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1.4.2.</w:t>
      </w:r>
      <w:r w:rsidRPr="007078D3">
        <w:rPr>
          <w:rFonts w:ascii="Times New Roman" w:hAnsi="Times New Roman" w:cs="Times New Roman"/>
          <w:color w:val="000000"/>
          <w:szCs w:val="20"/>
        </w:rPr>
        <w:t> Korpus drogowy – drogowa budowla ziemna ograniczona od góry koroną drogi, a z boków skarpami nasypów lub wewnętrznymi skarpami rowów.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1.4.3.</w:t>
      </w:r>
      <w:r w:rsidRPr="007078D3">
        <w:rPr>
          <w:rFonts w:ascii="Times New Roman" w:hAnsi="Times New Roman" w:cs="Times New Roman"/>
          <w:color w:val="000000"/>
          <w:szCs w:val="20"/>
        </w:rPr>
        <w:t> Korona drogi - część powierzchni drogi, obejmująca jezdnie z poboczami i pasem dzielącym oraz ewentualnie inne elementy dodatkowe.</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1.4.4. </w:t>
      </w:r>
      <w:r w:rsidRPr="007078D3">
        <w:rPr>
          <w:color w:val="000000"/>
          <w:sz w:val="20"/>
          <w:szCs w:val="20"/>
        </w:rPr>
        <w:t>Wskaźnik zagęszczenia gruntu - wielkość charakteryzująca stan zagęszczenia gruntu, badana zgodnie z procedurą według normy BN-77/8931-12 [3]), określona wg wzoru:</w:t>
      </w:r>
    </w:p>
    <w:p w:rsidR="0034055A" w:rsidRPr="007078D3" w:rsidRDefault="0034055A" w:rsidP="00ED04E8">
      <w:pPr>
        <w:pStyle w:val="standardowytekst"/>
        <w:spacing w:before="0" w:beforeAutospacing="0" w:after="0" w:afterAutospacing="0"/>
        <w:jc w:val="center"/>
        <w:rPr>
          <w:color w:val="000000"/>
          <w:sz w:val="20"/>
          <w:szCs w:val="20"/>
        </w:rPr>
      </w:pPr>
      <w:r w:rsidRPr="007078D3">
        <w:rPr>
          <w:noProof/>
          <w:color w:val="000000"/>
          <w:sz w:val="20"/>
          <w:szCs w:val="20"/>
        </w:rPr>
        <w:drawing>
          <wp:inline distT="0" distB="0" distL="0" distR="0">
            <wp:extent cx="498475" cy="379730"/>
            <wp:effectExtent l="0" t="0" r="0" b="0"/>
            <wp:docPr id="118333596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8475" cy="379730"/>
                    </a:xfrm>
                    <a:prstGeom prst="rect">
                      <a:avLst/>
                    </a:prstGeom>
                    <a:noFill/>
                    <a:ln>
                      <a:noFill/>
                    </a:ln>
                  </pic:spPr>
                </pic:pic>
              </a:graphicData>
            </a:graphic>
          </wp:inline>
        </w:drawing>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gdzie:</w:t>
      </w:r>
    </w:p>
    <w:p w:rsidR="0034055A" w:rsidRPr="007078D3" w:rsidRDefault="0034055A" w:rsidP="00ED04E8">
      <w:pPr>
        <w:pStyle w:val="standardowytekst"/>
        <w:spacing w:before="0" w:beforeAutospacing="0" w:after="0" w:afterAutospacing="0"/>
        <w:ind w:left="709" w:hanging="709"/>
        <w:rPr>
          <w:color w:val="000000"/>
          <w:sz w:val="20"/>
          <w:szCs w:val="20"/>
        </w:rPr>
      </w:pPr>
      <w:r w:rsidRPr="007078D3">
        <w:rPr>
          <w:i/>
          <w:iCs/>
          <w:color w:val="000000"/>
          <w:sz w:val="20"/>
          <w:szCs w:val="20"/>
        </w:rPr>
        <w:t>r</w:t>
      </w:r>
      <w:r w:rsidRPr="007078D3">
        <w:rPr>
          <w:color w:val="000000"/>
          <w:sz w:val="20"/>
          <w:szCs w:val="20"/>
          <w:vertAlign w:val="subscript"/>
        </w:rPr>
        <w:t>d</w:t>
      </w:r>
      <w:r w:rsidRPr="007078D3">
        <w:rPr>
          <w:color w:val="000000"/>
          <w:sz w:val="20"/>
          <w:szCs w:val="20"/>
        </w:rPr>
        <w:t>    -   gęstość objętościowa szkieletu zagęszczonego gruntu, lub materiału antropogenicznego, (Mg/m</w:t>
      </w:r>
      <w:r w:rsidRPr="007078D3">
        <w:rPr>
          <w:color w:val="000000"/>
          <w:sz w:val="20"/>
          <w:szCs w:val="20"/>
          <w:vertAlign w:val="superscript"/>
        </w:rPr>
        <w:t>3</w:t>
      </w:r>
      <w:r w:rsidRPr="007078D3">
        <w:rPr>
          <w:color w:val="000000"/>
          <w:sz w:val="20"/>
          <w:szCs w:val="20"/>
        </w:rPr>
        <w:t>),</w:t>
      </w:r>
    </w:p>
    <w:p w:rsidR="0034055A" w:rsidRPr="007078D3" w:rsidRDefault="0034055A" w:rsidP="00ED04E8">
      <w:pPr>
        <w:pStyle w:val="standardowytekst"/>
        <w:spacing w:before="0" w:beforeAutospacing="0" w:after="0" w:afterAutospacing="0"/>
        <w:ind w:left="709" w:hanging="709"/>
        <w:rPr>
          <w:color w:val="000000"/>
          <w:sz w:val="20"/>
          <w:szCs w:val="20"/>
        </w:rPr>
      </w:pPr>
      <w:r w:rsidRPr="007078D3">
        <w:rPr>
          <w:i/>
          <w:iCs/>
          <w:color w:val="000000"/>
          <w:sz w:val="20"/>
          <w:szCs w:val="20"/>
        </w:rPr>
        <w:t>r</w:t>
      </w:r>
      <w:r w:rsidRPr="007078D3">
        <w:rPr>
          <w:color w:val="000000"/>
          <w:sz w:val="20"/>
          <w:szCs w:val="20"/>
          <w:vertAlign w:val="subscript"/>
        </w:rPr>
        <w:t>ds</w:t>
      </w:r>
      <w:r w:rsidRPr="007078D3">
        <w:rPr>
          <w:color w:val="000000"/>
          <w:sz w:val="20"/>
          <w:szCs w:val="20"/>
        </w:rPr>
        <w:t>   -   maksymalna gęstość objętościowa szkieletu gruntowego przy wilgotności optymalnej, ziemnych określona w normalnej próbie </w:t>
      </w:r>
      <w:r w:rsidRPr="007078D3">
        <w:rPr>
          <w:rStyle w:val="spelle"/>
          <w:color w:val="000000"/>
          <w:sz w:val="20"/>
          <w:szCs w:val="20"/>
        </w:rPr>
        <w:t>Proctora</w:t>
      </w:r>
      <w:r w:rsidRPr="007078D3">
        <w:rPr>
          <w:color w:val="000000"/>
          <w:sz w:val="20"/>
          <w:szCs w:val="20"/>
        </w:rPr>
        <w:t>, (Mg/m</w:t>
      </w:r>
      <w:r w:rsidRPr="007078D3">
        <w:rPr>
          <w:color w:val="000000"/>
          <w:sz w:val="20"/>
          <w:szCs w:val="20"/>
          <w:vertAlign w:val="superscript"/>
        </w:rPr>
        <w:t>3</w:t>
      </w:r>
      <w:r w:rsidRPr="007078D3">
        <w:rPr>
          <w:color w:val="000000"/>
          <w:sz w:val="20"/>
          <w:szCs w:val="20"/>
        </w:rPr>
        <w:t>).</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1.4.5.</w:t>
      </w:r>
      <w:r w:rsidRPr="007078D3">
        <w:rPr>
          <w:color w:val="000000"/>
          <w:sz w:val="20"/>
          <w:szCs w:val="20"/>
        </w:rPr>
        <w:t> Wskaźnik odkształcenia gruntu - wielkość charakteryzująca stan zagęszczenia gruntu, określona wg wzoru:</w:t>
      </w:r>
    </w:p>
    <w:p w:rsidR="0034055A" w:rsidRPr="007078D3" w:rsidRDefault="0034055A" w:rsidP="00ED04E8">
      <w:pPr>
        <w:pStyle w:val="standardowytekst"/>
        <w:spacing w:before="0" w:beforeAutospacing="0" w:after="0" w:afterAutospacing="0"/>
        <w:jc w:val="center"/>
        <w:rPr>
          <w:color w:val="000000"/>
          <w:sz w:val="20"/>
          <w:szCs w:val="20"/>
        </w:rPr>
      </w:pPr>
      <w:r w:rsidRPr="007078D3">
        <w:rPr>
          <w:noProof/>
          <w:color w:val="000000"/>
          <w:sz w:val="20"/>
          <w:szCs w:val="20"/>
        </w:rPr>
        <w:drawing>
          <wp:inline distT="0" distB="0" distL="0" distR="0">
            <wp:extent cx="462915" cy="379730"/>
            <wp:effectExtent l="0" t="0" r="0" b="0"/>
            <wp:docPr id="110055820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2915" cy="379730"/>
                    </a:xfrm>
                    <a:prstGeom prst="rect">
                      <a:avLst/>
                    </a:prstGeom>
                    <a:noFill/>
                    <a:ln>
                      <a:noFill/>
                    </a:ln>
                  </pic:spPr>
                </pic:pic>
              </a:graphicData>
            </a:graphic>
          </wp:inline>
        </w:drawing>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gdzie:</w:t>
      </w:r>
    </w:p>
    <w:p w:rsidR="0034055A" w:rsidRPr="007078D3" w:rsidRDefault="0034055A" w:rsidP="00ED04E8">
      <w:pPr>
        <w:pStyle w:val="standardowytekst"/>
        <w:spacing w:before="0" w:beforeAutospacing="0" w:after="0" w:afterAutospacing="0"/>
        <w:rPr>
          <w:color w:val="000000"/>
          <w:sz w:val="20"/>
          <w:szCs w:val="20"/>
        </w:rPr>
      </w:pPr>
      <w:r w:rsidRPr="007078D3">
        <w:rPr>
          <w:i/>
          <w:iCs/>
          <w:color w:val="000000"/>
          <w:sz w:val="20"/>
          <w:szCs w:val="20"/>
        </w:rPr>
        <w:t>E</w:t>
      </w:r>
      <w:r w:rsidRPr="007078D3">
        <w:rPr>
          <w:i/>
          <w:iCs/>
          <w:color w:val="000000"/>
          <w:sz w:val="20"/>
          <w:szCs w:val="20"/>
          <w:vertAlign w:val="subscript"/>
        </w:rPr>
        <w:t>1</w:t>
      </w:r>
      <w:r w:rsidRPr="007078D3">
        <w:rPr>
          <w:color w:val="000000"/>
          <w:sz w:val="20"/>
          <w:szCs w:val="20"/>
        </w:rPr>
        <w:t>   -   moduł odkształcenia gruntu oznaczony w pierwszym obciążeniu badanej warstwy zgodnie z PN-S-02205 [4],</w:t>
      </w:r>
    </w:p>
    <w:p w:rsidR="0034055A" w:rsidRPr="007078D3" w:rsidRDefault="0034055A" w:rsidP="00ED04E8">
      <w:pPr>
        <w:pStyle w:val="standardowytekst"/>
        <w:spacing w:before="0" w:beforeAutospacing="0" w:after="0" w:afterAutospacing="0"/>
        <w:rPr>
          <w:color w:val="000000"/>
          <w:sz w:val="20"/>
          <w:szCs w:val="20"/>
        </w:rPr>
      </w:pPr>
      <w:r w:rsidRPr="007078D3">
        <w:rPr>
          <w:i/>
          <w:iCs/>
          <w:color w:val="000000"/>
          <w:sz w:val="20"/>
          <w:szCs w:val="20"/>
        </w:rPr>
        <w:t>E</w:t>
      </w:r>
      <w:r w:rsidRPr="007078D3">
        <w:rPr>
          <w:i/>
          <w:iCs/>
          <w:color w:val="000000"/>
          <w:sz w:val="20"/>
          <w:szCs w:val="20"/>
          <w:vertAlign w:val="subscript"/>
        </w:rPr>
        <w:t>2</w:t>
      </w:r>
      <w:r w:rsidRPr="007078D3">
        <w:rPr>
          <w:color w:val="000000"/>
          <w:sz w:val="20"/>
          <w:szCs w:val="20"/>
        </w:rPr>
        <w:t>   -   moduł odkształcenia gruntu oznaczony w powtórnym obciążeniu badanej warstwy zgodnie z PN-S-02205 [4].</w:t>
      </w:r>
    </w:p>
    <w:p w:rsidR="0034055A" w:rsidRPr="007078D3" w:rsidRDefault="0034055A" w:rsidP="00ED04E8">
      <w:pPr>
        <w:pStyle w:val="standardowytekst"/>
        <w:spacing w:before="0" w:beforeAutospacing="0" w:after="0" w:afterAutospacing="0"/>
        <w:rPr>
          <w:color w:val="000000"/>
          <w:sz w:val="20"/>
          <w:szCs w:val="20"/>
        </w:rPr>
      </w:pPr>
      <w:r w:rsidRPr="007078D3">
        <w:rPr>
          <w:b/>
          <w:bCs/>
          <w:color w:val="000000"/>
          <w:sz w:val="20"/>
          <w:szCs w:val="20"/>
        </w:rPr>
        <w:t>1.4.6. </w:t>
      </w:r>
      <w:r w:rsidRPr="007078D3">
        <w:rPr>
          <w:color w:val="000000"/>
          <w:sz w:val="20"/>
          <w:szCs w:val="20"/>
        </w:rPr>
        <w:t>Moduł odkształcenia gruntu – wielkość charakteryzująca nośność na powierzchni warstwy gruntu lub materiału antropogenicznego, badana zgodnie z procedurą według PN-S-02205 [2], załącznik B, określana wg wzoru</w:t>
      </w:r>
    </w:p>
    <w:p w:rsidR="0034055A" w:rsidRPr="007078D3" w:rsidRDefault="0034055A" w:rsidP="00ED04E8">
      <w:pPr>
        <w:pStyle w:val="standardowytekst"/>
        <w:spacing w:before="0" w:beforeAutospacing="0" w:after="0" w:afterAutospacing="0"/>
        <w:jc w:val="center"/>
        <w:rPr>
          <w:color w:val="000000"/>
          <w:sz w:val="20"/>
          <w:szCs w:val="20"/>
        </w:rPr>
      </w:pPr>
      <w:r w:rsidRPr="007078D3">
        <w:rPr>
          <w:color w:val="000000"/>
          <w:sz w:val="20"/>
          <w:szCs w:val="20"/>
        </w:rPr>
        <w:t> </w:t>
      </w:r>
    </w:p>
    <w:p w:rsidR="0034055A" w:rsidRPr="007078D3" w:rsidRDefault="0034055A" w:rsidP="00ED04E8">
      <w:pPr>
        <w:pStyle w:val="standardowytekst"/>
        <w:spacing w:before="0" w:beforeAutospacing="0" w:after="0" w:afterAutospacing="0"/>
        <w:jc w:val="center"/>
        <w:rPr>
          <w:color w:val="000000"/>
          <w:sz w:val="20"/>
          <w:szCs w:val="20"/>
        </w:rPr>
      </w:pPr>
      <w:r w:rsidRPr="007078D3">
        <w:rPr>
          <w:color w:val="000000"/>
          <w:sz w:val="20"/>
          <w:szCs w:val="20"/>
        </w:rPr>
        <w:t>E</w:t>
      </w:r>
      <w:r w:rsidRPr="007078D3">
        <w:rPr>
          <w:color w:val="000000"/>
          <w:sz w:val="20"/>
          <w:szCs w:val="20"/>
          <w:vertAlign w:val="subscript"/>
        </w:rPr>
        <w:t>i</w:t>
      </w:r>
      <w:r w:rsidRPr="007078D3">
        <w:rPr>
          <w:color w:val="000000"/>
          <w:sz w:val="20"/>
          <w:szCs w:val="20"/>
        </w:rPr>
        <w:t>=0.75 × </w:t>
      </w:r>
      <w:r w:rsidRPr="007078D3">
        <w:rPr>
          <w:rStyle w:val="spelle"/>
          <w:color w:val="000000"/>
          <w:sz w:val="20"/>
          <w:szCs w:val="20"/>
        </w:rPr>
        <w:t>Δp</w:t>
      </w:r>
      <w:r w:rsidRPr="007078D3">
        <w:rPr>
          <w:color w:val="000000"/>
          <w:sz w:val="20"/>
          <w:szCs w:val="20"/>
        </w:rPr>
        <w:t> × D/</w:t>
      </w:r>
      <w:r w:rsidRPr="007078D3">
        <w:rPr>
          <w:rStyle w:val="spelle"/>
          <w:color w:val="000000"/>
          <w:sz w:val="20"/>
          <w:szCs w:val="20"/>
        </w:rPr>
        <w:t>Δs</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gdzie:</w:t>
      </w:r>
    </w:p>
    <w:p w:rsidR="0034055A" w:rsidRPr="007078D3" w:rsidRDefault="0034055A" w:rsidP="00ED04E8">
      <w:pPr>
        <w:pStyle w:val="standardowytekst"/>
        <w:spacing w:before="0" w:beforeAutospacing="0" w:after="0" w:afterAutospacing="0"/>
        <w:rPr>
          <w:color w:val="000000"/>
          <w:sz w:val="20"/>
          <w:szCs w:val="20"/>
        </w:rPr>
      </w:pPr>
      <w:r w:rsidRPr="007078D3">
        <w:rPr>
          <w:rStyle w:val="spelle"/>
          <w:color w:val="000000"/>
          <w:sz w:val="20"/>
          <w:szCs w:val="20"/>
        </w:rPr>
        <w:t>Ei</w:t>
      </w:r>
      <w:r w:rsidRPr="007078D3">
        <w:rPr>
          <w:color w:val="000000"/>
          <w:sz w:val="20"/>
          <w:szCs w:val="20"/>
        </w:rPr>
        <w:t> – moduł odkształcenia gruntu [</w:t>
      </w:r>
      <w:r w:rsidRPr="007078D3">
        <w:rPr>
          <w:rStyle w:val="spelle"/>
          <w:color w:val="000000"/>
          <w:sz w:val="20"/>
          <w:szCs w:val="20"/>
        </w:rPr>
        <w:t>MPa</w:t>
      </w:r>
      <w:r w:rsidRPr="007078D3">
        <w:rPr>
          <w:color w:val="000000"/>
          <w:sz w:val="20"/>
          <w:szCs w:val="20"/>
        </w:rPr>
        <w:t>],</w:t>
      </w:r>
    </w:p>
    <w:p w:rsidR="0034055A" w:rsidRPr="007078D3" w:rsidRDefault="0034055A" w:rsidP="00ED04E8">
      <w:pPr>
        <w:pStyle w:val="standardowytekst"/>
        <w:spacing w:before="0" w:beforeAutospacing="0" w:after="0" w:afterAutospacing="0"/>
        <w:rPr>
          <w:color w:val="000000"/>
          <w:sz w:val="20"/>
          <w:szCs w:val="20"/>
        </w:rPr>
      </w:pPr>
      <w:r w:rsidRPr="007078D3">
        <w:rPr>
          <w:rStyle w:val="spelle"/>
          <w:color w:val="000000"/>
          <w:sz w:val="20"/>
          <w:szCs w:val="20"/>
        </w:rPr>
        <w:t>Δp</w:t>
      </w:r>
      <w:r w:rsidRPr="007078D3">
        <w:rPr>
          <w:color w:val="000000"/>
          <w:sz w:val="20"/>
          <w:szCs w:val="20"/>
        </w:rPr>
        <w:t> – przyrost obciążenia jednostkowego [</w:t>
      </w:r>
      <w:r w:rsidRPr="007078D3">
        <w:rPr>
          <w:rStyle w:val="spelle"/>
          <w:color w:val="000000"/>
          <w:sz w:val="20"/>
          <w:szCs w:val="20"/>
        </w:rPr>
        <w:t>MPa</w:t>
      </w:r>
      <w:r w:rsidRPr="007078D3">
        <w:rPr>
          <w:color w:val="000000"/>
          <w:sz w:val="20"/>
          <w:szCs w:val="20"/>
        </w:rPr>
        <w:t>],</w:t>
      </w:r>
    </w:p>
    <w:p w:rsidR="0034055A" w:rsidRPr="007078D3" w:rsidRDefault="0034055A" w:rsidP="00ED04E8">
      <w:pPr>
        <w:pStyle w:val="standardowytekst"/>
        <w:spacing w:before="0" w:beforeAutospacing="0" w:after="0" w:afterAutospacing="0"/>
        <w:rPr>
          <w:color w:val="000000"/>
          <w:sz w:val="20"/>
          <w:szCs w:val="20"/>
        </w:rPr>
      </w:pPr>
      <w:r w:rsidRPr="007078D3">
        <w:rPr>
          <w:rStyle w:val="spelle"/>
          <w:color w:val="000000"/>
          <w:sz w:val="20"/>
          <w:szCs w:val="20"/>
        </w:rPr>
        <w:t>Δs</w:t>
      </w:r>
      <w:r w:rsidRPr="007078D3">
        <w:rPr>
          <w:color w:val="000000"/>
          <w:sz w:val="20"/>
          <w:szCs w:val="20"/>
        </w:rPr>
        <w:t> – przyrost osiadania odpowiadający przyrostowi obciążenia jednostkowego [mm],</w:t>
      </w:r>
    </w:p>
    <w:p w:rsidR="0034055A" w:rsidRPr="007078D3" w:rsidRDefault="0034055A" w:rsidP="00ED04E8">
      <w:pPr>
        <w:pStyle w:val="standardowytekst"/>
        <w:spacing w:before="0" w:beforeAutospacing="0" w:after="0" w:afterAutospacing="0"/>
        <w:rPr>
          <w:color w:val="000000"/>
          <w:sz w:val="20"/>
          <w:szCs w:val="20"/>
        </w:rPr>
      </w:pPr>
      <w:r w:rsidRPr="007078D3">
        <w:rPr>
          <w:color w:val="000000"/>
          <w:sz w:val="20"/>
          <w:szCs w:val="20"/>
        </w:rPr>
        <w:t>D-średnica płyty [mm].</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330" w:name="_Toc407086010"/>
      <w:bookmarkStart w:id="331" w:name="_Toc405704477"/>
      <w:bookmarkStart w:id="332" w:name="_Toc405780138"/>
      <w:bookmarkStart w:id="333" w:name="_Toc406295850"/>
      <w:bookmarkStart w:id="334" w:name="_Toc406913839"/>
      <w:bookmarkStart w:id="335" w:name="_Toc406914084"/>
      <w:bookmarkStart w:id="336" w:name="_Toc406914742"/>
      <w:bookmarkStart w:id="337" w:name="_Toc406915320"/>
      <w:bookmarkStart w:id="338" w:name="_Toc406984013"/>
      <w:bookmarkStart w:id="339" w:name="_Toc406984160"/>
      <w:bookmarkStart w:id="340" w:name="_Toc406984351"/>
      <w:bookmarkStart w:id="341" w:name="_Toc407069559"/>
      <w:bookmarkStart w:id="342" w:name="_Toc407081524"/>
      <w:bookmarkStart w:id="343" w:name="_Toc407083323"/>
      <w:bookmarkStart w:id="344" w:name="_Toc407084157"/>
      <w:bookmarkStart w:id="345" w:name="_Toc407085276"/>
      <w:bookmarkStart w:id="346" w:name="_Toc407085419"/>
      <w:bookmarkStart w:id="347" w:name="_Toc407085562"/>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rsidRPr="007078D3">
        <w:rPr>
          <w:rFonts w:ascii="Times New Roman" w:hAnsi="Times New Roman"/>
          <w:color w:val="000000"/>
          <w:szCs w:val="20"/>
        </w:rPr>
        <w:t>1.5. Ogólne wymagania dotyczące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1.5.</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348" w:name="_Toc148973276"/>
      <w:bookmarkStart w:id="349" w:name="_Toc406913840"/>
      <w:bookmarkStart w:id="350" w:name="_Toc406914085"/>
      <w:bookmarkStart w:id="351" w:name="_Toc406914743"/>
      <w:bookmarkStart w:id="352" w:name="_Toc406915321"/>
      <w:bookmarkStart w:id="353" w:name="_Toc406984014"/>
      <w:bookmarkStart w:id="354" w:name="_Toc406984161"/>
      <w:bookmarkStart w:id="355" w:name="_Toc406984352"/>
      <w:bookmarkStart w:id="356" w:name="_Toc407069560"/>
      <w:bookmarkStart w:id="357" w:name="_Toc407081525"/>
      <w:bookmarkStart w:id="358" w:name="_Toc407083324"/>
      <w:bookmarkStart w:id="359" w:name="_Toc407084158"/>
      <w:bookmarkStart w:id="360" w:name="_Toc407085277"/>
      <w:bookmarkStart w:id="361" w:name="_Toc407085420"/>
      <w:bookmarkStart w:id="362" w:name="_Toc407085563"/>
      <w:bookmarkStart w:id="363" w:name="_Toc407086011"/>
      <w:bookmarkStart w:id="364" w:name="_Toc148972792"/>
      <w:bookmarkStart w:id="365" w:name="_Toc148973082"/>
      <w:bookmarkStart w:id="366" w:name="_Toc148973184"/>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r w:rsidRPr="007078D3">
        <w:rPr>
          <w:rFonts w:ascii="Times New Roman" w:hAnsi="Times New Roman"/>
          <w:caps/>
          <w:color w:val="000000"/>
          <w:szCs w:val="20"/>
        </w:rPr>
        <w:t>2. MATERIAŁY</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W przypadku, gdy  występują zaniżenia poziomu w podłożu przewidzianym do profilowania koryta należy zastosować dodatkowy grunt spełniający wymagania obowiązujące dla górnej strefy korpusu drogowego zgodnie z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D-02.00.00 [2].</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367" w:name="_Toc148973277"/>
      <w:bookmarkStart w:id="368" w:name="_Toc406913841"/>
      <w:bookmarkStart w:id="369" w:name="_Toc406914086"/>
      <w:bookmarkStart w:id="370" w:name="_Toc406914744"/>
      <w:bookmarkStart w:id="371" w:name="_Toc406915322"/>
      <w:bookmarkStart w:id="372" w:name="_Toc406984015"/>
      <w:bookmarkStart w:id="373" w:name="_Toc406984162"/>
      <w:bookmarkStart w:id="374" w:name="_Toc406984353"/>
      <w:bookmarkStart w:id="375" w:name="_Toc407069561"/>
      <w:bookmarkStart w:id="376" w:name="_Toc407081526"/>
      <w:bookmarkStart w:id="377" w:name="_Toc407083325"/>
      <w:bookmarkStart w:id="378" w:name="_Toc407084159"/>
      <w:bookmarkStart w:id="379" w:name="_Toc407085278"/>
      <w:bookmarkStart w:id="380" w:name="_Toc407085421"/>
      <w:bookmarkStart w:id="381" w:name="_Toc407085564"/>
      <w:bookmarkStart w:id="382" w:name="_Toc407086012"/>
      <w:bookmarkStart w:id="383" w:name="_Toc148972793"/>
      <w:bookmarkStart w:id="384" w:name="_Toc148973083"/>
      <w:bookmarkStart w:id="385" w:name="_Toc148973185"/>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sidRPr="007078D3">
        <w:rPr>
          <w:rFonts w:ascii="Times New Roman" w:hAnsi="Times New Roman"/>
          <w:caps/>
          <w:color w:val="000000"/>
          <w:szCs w:val="20"/>
        </w:rPr>
        <w:t>3. SPRZĘT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386" w:name="_Toc407086013"/>
      <w:bookmarkStart w:id="387" w:name="_Toc406913842"/>
      <w:bookmarkStart w:id="388" w:name="_Toc406914087"/>
      <w:bookmarkStart w:id="389" w:name="_Toc406914745"/>
      <w:bookmarkStart w:id="390" w:name="_Toc406915323"/>
      <w:bookmarkStart w:id="391" w:name="_Toc406984016"/>
      <w:bookmarkStart w:id="392" w:name="_Toc406984163"/>
      <w:bookmarkStart w:id="393" w:name="_Toc406984354"/>
      <w:bookmarkStart w:id="394" w:name="_Toc407069562"/>
      <w:bookmarkStart w:id="395" w:name="_Toc407081527"/>
      <w:bookmarkStart w:id="396" w:name="_Toc407083326"/>
      <w:bookmarkStart w:id="397" w:name="_Toc407084160"/>
      <w:bookmarkStart w:id="398" w:name="_Toc407085279"/>
      <w:bookmarkStart w:id="399" w:name="_Toc407085422"/>
      <w:bookmarkStart w:id="400" w:name="_Toc40708556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7078D3">
        <w:rPr>
          <w:rFonts w:ascii="Times New Roman" w:hAnsi="Times New Roman"/>
          <w:color w:val="000000"/>
          <w:szCs w:val="20"/>
        </w:rPr>
        <w:t>3.1. Ogólne wymagania dotyczące sprzętu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sprzętu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3.</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401" w:name="_Toc407086014"/>
      <w:bookmarkStart w:id="402" w:name="_Toc406913843"/>
      <w:bookmarkStart w:id="403" w:name="_Toc406914088"/>
      <w:bookmarkStart w:id="404" w:name="_Toc406914746"/>
      <w:bookmarkStart w:id="405" w:name="_Toc406915324"/>
      <w:bookmarkStart w:id="406" w:name="_Toc406984017"/>
      <w:bookmarkStart w:id="407" w:name="_Toc406984164"/>
      <w:bookmarkStart w:id="408" w:name="_Toc406984355"/>
      <w:bookmarkStart w:id="409" w:name="_Toc407069563"/>
      <w:bookmarkStart w:id="410" w:name="_Toc407081528"/>
      <w:bookmarkStart w:id="411" w:name="_Toc407083327"/>
      <w:bookmarkStart w:id="412" w:name="_Toc407084161"/>
      <w:bookmarkStart w:id="413" w:name="_Toc407085280"/>
      <w:bookmarkStart w:id="414" w:name="_Toc407085423"/>
      <w:bookmarkStart w:id="415" w:name="_Toc407085566"/>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r w:rsidRPr="007078D3">
        <w:rPr>
          <w:rFonts w:ascii="Times New Roman" w:hAnsi="Times New Roman"/>
          <w:color w:val="000000"/>
          <w:szCs w:val="20"/>
        </w:rPr>
        <w:t>3.2. Sprzęt do wykonania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Wykonawca przystępujący do wykonania koryta i profilowania podłoża powinien wykazać się możliwością korzystania z następującego sprzętu:</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równiarek lub spycharek uniwersalnych z ukośnie ustawianym lemieszem; Inżynier może dopuścić wykonanie koryta i profilowanie podłoża z zastosowaniem spycharki z lemieszem ustawionym prostopadle do kierunku pracy maszyny,</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koparek z czerpakami profilowymi (przy wykonywaniu wąskich koryt),</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walców statycznych, wibracyjnych lub płyt wibracyjnych.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Stosowany sprzęt nie może spowodować niekorzystnego wpływu na właściwości gruntu podłoża.</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416" w:name="_Toc148973278"/>
      <w:bookmarkStart w:id="417" w:name="_Toc406913844"/>
      <w:bookmarkStart w:id="418" w:name="_Toc406914089"/>
      <w:bookmarkStart w:id="419" w:name="_Toc406914747"/>
      <w:bookmarkStart w:id="420" w:name="_Toc406915325"/>
      <w:bookmarkStart w:id="421" w:name="_Toc406984018"/>
      <w:bookmarkStart w:id="422" w:name="_Toc406984165"/>
      <w:bookmarkStart w:id="423" w:name="_Toc406984356"/>
      <w:bookmarkStart w:id="424" w:name="_Toc407069564"/>
      <w:bookmarkStart w:id="425" w:name="_Toc407081529"/>
      <w:bookmarkStart w:id="426" w:name="_Toc407083328"/>
      <w:bookmarkStart w:id="427" w:name="_Toc407084162"/>
      <w:bookmarkStart w:id="428" w:name="_Toc407085281"/>
      <w:bookmarkStart w:id="429" w:name="_Toc407085424"/>
      <w:bookmarkStart w:id="430" w:name="_Toc407085567"/>
      <w:bookmarkStart w:id="431" w:name="_Toc407086015"/>
      <w:bookmarkStart w:id="432" w:name="_Toc148972794"/>
      <w:bookmarkStart w:id="433" w:name="_Toc148973084"/>
      <w:bookmarkStart w:id="434" w:name="_Toc148973186"/>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r w:rsidRPr="007078D3">
        <w:rPr>
          <w:rFonts w:ascii="Times New Roman" w:hAnsi="Times New Roman"/>
          <w:caps/>
          <w:color w:val="000000"/>
          <w:szCs w:val="20"/>
        </w:rPr>
        <w:t>4. TRANSPORT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435" w:name="_Toc407086016"/>
      <w:bookmarkStart w:id="436" w:name="_Toc406913845"/>
      <w:bookmarkStart w:id="437" w:name="_Toc406914090"/>
      <w:bookmarkStart w:id="438" w:name="_Toc406914748"/>
      <w:bookmarkStart w:id="439" w:name="_Toc406915326"/>
      <w:bookmarkStart w:id="440" w:name="_Toc406984019"/>
      <w:bookmarkStart w:id="441" w:name="_Toc406984166"/>
      <w:bookmarkStart w:id="442" w:name="_Toc406984357"/>
      <w:bookmarkStart w:id="443" w:name="_Toc407069565"/>
      <w:bookmarkStart w:id="444" w:name="_Toc407081530"/>
      <w:bookmarkStart w:id="445" w:name="_Toc407083329"/>
      <w:bookmarkStart w:id="446" w:name="_Toc407084163"/>
      <w:bookmarkStart w:id="447" w:name="_Toc407085282"/>
      <w:bookmarkStart w:id="448" w:name="_Toc407085425"/>
      <w:bookmarkStart w:id="449" w:name="_Toc407085568"/>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7078D3">
        <w:rPr>
          <w:rFonts w:ascii="Times New Roman" w:hAnsi="Times New Roman"/>
          <w:color w:val="000000"/>
          <w:szCs w:val="20"/>
        </w:rPr>
        <w:lastRenderedPageBreak/>
        <w:t>4.1. Ogólne wymagania dotyczące transportu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bookmarkStart w:id="450" w:name="_Toc406914091"/>
      <w:bookmarkStart w:id="451" w:name="_Toc406822326"/>
      <w:bookmarkStart w:id="452" w:name="_Toc406913846"/>
      <w:bookmarkEnd w:id="450"/>
      <w:bookmarkEnd w:id="451"/>
      <w:bookmarkEnd w:id="452"/>
      <w:r w:rsidRPr="007078D3">
        <w:rPr>
          <w:rFonts w:ascii="Times New Roman" w:hAnsi="Times New Roman" w:cs="Times New Roman"/>
          <w:color w:val="000000"/>
          <w:szCs w:val="20"/>
        </w:rPr>
        <w:t xml:space="preserve">Ogólne wymagania dotyczące transportu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4.</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453" w:name="_Toc407086017"/>
      <w:bookmarkStart w:id="454" w:name="_Toc406913847"/>
      <w:bookmarkStart w:id="455" w:name="_Toc406914092"/>
      <w:bookmarkStart w:id="456" w:name="_Toc406914749"/>
      <w:bookmarkStart w:id="457" w:name="_Toc406915327"/>
      <w:bookmarkStart w:id="458" w:name="_Toc406984020"/>
      <w:bookmarkStart w:id="459" w:name="_Toc406984167"/>
      <w:bookmarkStart w:id="460" w:name="_Toc406984358"/>
      <w:bookmarkStart w:id="461" w:name="_Toc407069566"/>
      <w:bookmarkStart w:id="462" w:name="_Toc407081531"/>
      <w:bookmarkStart w:id="463" w:name="_Toc407083330"/>
      <w:bookmarkStart w:id="464" w:name="_Toc407084164"/>
      <w:bookmarkStart w:id="465" w:name="_Toc407085283"/>
      <w:bookmarkStart w:id="466" w:name="_Toc407085426"/>
      <w:bookmarkStart w:id="467" w:name="_Toc407085569"/>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r w:rsidRPr="007078D3">
        <w:rPr>
          <w:rFonts w:ascii="Times New Roman" w:hAnsi="Times New Roman"/>
          <w:color w:val="000000"/>
          <w:szCs w:val="20"/>
        </w:rPr>
        <w:t>4.2. Transport materiałów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bookmarkStart w:id="468" w:name="_Toc406914093"/>
      <w:bookmarkStart w:id="469" w:name="_Toc406822328"/>
      <w:bookmarkStart w:id="470" w:name="_Toc406913848"/>
      <w:bookmarkEnd w:id="468"/>
      <w:bookmarkEnd w:id="469"/>
      <w:bookmarkEnd w:id="470"/>
      <w:r w:rsidRPr="007078D3">
        <w:rPr>
          <w:rFonts w:ascii="Times New Roman" w:hAnsi="Times New Roman" w:cs="Times New Roman"/>
          <w:color w:val="000000"/>
          <w:szCs w:val="20"/>
        </w:rPr>
        <w:t xml:space="preserve">Wymagania dotyczące transportu gruntu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D-02.00.00 [2] pkt 4.</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471" w:name="_Toc148973279"/>
      <w:bookmarkStart w:id="472" w:name="_Toc406913849"/>
      <w:bookmarkStart w:id="473" w:name="_Toc406914094"/>
      <w:bookmarkStart w:id="474" w:name="_Toc406914750"/>
      <w:bookmarkStart w:id="475" w:name="_Toc406915328"/>
      <w:bookmarkStart w:id="476" w:name="_Toc406984021"/>
      <w:bookmarkStart w:id="477" w:name="_Toc406984168"/>
      <w:bookmarkStart w:id="478" w:name="_Toc406984359"/>
      <w:bookmarkStart w:id="479" w:name="_Toc407069567"/>
      <w:bookmarkStart w:id="480" w:name="_Toc407081532"/>
      <w:bookmarkStart w:id="481" w:name="_Toc407083331"/>
      <w:bookmarkStart w:id="482" w:name="_Toc407084165"/>
      <w:bookmarkStart w:id="483" w:name="_Toc407085284"/>
      <w:bookmarkStart w:id="484" w:name="_Toc407085427"/>
      <w:bookmarkStart w:id="485" w:name="_Toc407085570"/>
      <w:bookmarkStart w:id="486" w:name="_Toc407086018"/>
      <w:bookmarkStart w:id="487" w:name="_Toc148972795"/>
      <w:bookmarkStart w:id="488" w:name="_Toc148973085"/>
      <w:bookmarkStart w:id="489" w:name="_Toc148973187"/>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r w:rsidRPr="007078D3">
        <w:rPr>
          <w:rFonts w:ascii="Times New Roman" w:hAnsi="Times New Roman"/>
          <w:caps/>
          <w:color w:val="000000"/>
          <w:szCs w:val="20"/>
        </w:rPr>
        <w:t>5. WYKONANIE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490" w:name="_Toc407086019"/>
      <w:bookmarkStart w:id="491" w:name="_Toc406913850"/>
      <w:bookmarkStart w:id="492" w:name="_Toc406914095"/>
      <w:bookmarkStart w:id="493" w:name="_Toc406914751"/>
      <w:bookmarkStart w:id="494" w:name="_Toc406915329"/>
      <w:bookmarkStart w:id="495" w:name="_Toc406984022"/>
      <w:bookmarkStart w:id="496" w:name="_Toc406984169"/>
      <w:bookmarkStart w:id="497" w:name="_Toc406984360"/>
      <w:bookmarkStart w:id="498" w:name="_Toc407069568"/>
      <w:bookmarkStart w:id="499" w:name="_Toc407081533"/>
      <w:bookmarkStart w:id="500" w:name="_Toc407083332"/>
      <w:bookmarkStart w:id="501" w:name="_Toc407084166"/>
      <w:bookmarkStart w:id="502" w:name="_Toc407085285"/>
      <w:bookmarkStart w:id="503" w:name="_Toc407085428"/>
      <w:bookmarkStart w:id="504" w:name="_Toc407085571"/>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rsidRPr="007078D3">
        <w:rPr>
          <w:rFonts w:ascii="Times New Roman" w:hAnsi="Times New Roman"/>
          <w:color w:val="000000"/>
          <w:szCs w:val="20"/>
        </w:rPr>
        <w:t>5.1. Ogólne zasady wykonania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bookmarkStart w:id="505" w:name="_Toc406914096"/>
      <w:bookmarkStart w:id="506" w:name="_Toc406822331"/>
      <w:bookmarkStart w:id="507" w:name="_Toc406913851"/>
      <w:bookmarkEnd w:id="505"/>
      <w:bookmarkEnd w:id="506"/>
      <w:bookmarkEnd w:id="507"/>
      <w:r w:rsidRPr="007078D3">
        <w:rPr>
          <w:rFonts w:ascii="Times New Roman" w:hAnsi="Times New Roman" w:cs="Times New Roman"/>
          <w:color w:val="000000"/>
          <w:szCs w:val="20"/>
        </w:rPr>
        <w:t xml:space="preserve">Ogólne zasady wykonania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5.</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508" w:name="_Toc407086020"/>
      <w:bookmarkStart w:id="509" w:name="_Toc406913852"/>
      <w:bookmarkStart w:id="510" w:name="_Toc406914097"/>
      <w:bookmarkStart w:id="511" w:name="_Toc406914752"/>
      <w:bookmarkStart w:id="512" w:name="_Toc406915330"/>
      <w:bookmarkStart w:id="513" w:name="_Toc406984023"/>
      <w:bookmarkStart w:id="514" w:name="_Toc406984170"/>
      <w:bookmarkStart w:id="515" w:name="_Toc406984361"/>
      <w:bookmarkStart w:id="516" w:name="_Toc407069569"/>
      <w:bookmarkStart w:id="517" w:name="_Toc407081534"/>
      <w:bookmarkStart w:id="518" w:name="_Toc407083333"/>
      <w:bookmarkStart w:id="519" w:name="_Toc407084167"/>
      <w:bookmarkStart w:id="520" w:name="_Toc407085286"/>
      <w:bookmarkStart w:id="521" w:name="_Toc407085429"/>
      <w:bookmarkStart w:id="522" w:name="_Toc407085572"/>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r w:rsidRPr="007078D3">
        <w:rPr>
          <w:rFonts w:ascii="Times New Roman" w:hAnsi="Times New Roman"/>
          <w:color w:val="000000"/>
          <w:szCs w:val="20"/>
        </w:rPr>
        <w:t>5.2. Warunki przystąpienia do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Wykonawca powinien przystąpić do wykonania koryta oraz profilowania i zagęszczenia podłoża bezpośrednio przed rozpoczęciem robót związanych z wykonaniem warstw nawierzchni. Wcześniejsze przystąpienie do wykonania koryta oraz profilowania i zagęszczania podłoża, jest możliwe wyłącznie za zgodą Inżyniera, w korzystnych warunkach atmosferycznych.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 wykonanym korycie oraz po wyprofilowanym i zagęszczonym podłożu nie może odbywać się ruch budowlany, niezwiązany bezpośrednio z wykonaniem pierwszej warstwy nawierzchni.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523" w:name="_Toc407086021"/>
      <w:bookmarkStart w:id="524" w:name="_Toc406913853"/>
      <w:bookmarkStart w:id="525" w:name="_Toc406914098"/>
      <w:bookmarkStart w:id="526" w:name="_Toc406914753"/>
      <w:bookmarkStart w:id="527" w:name="_Toc406915331"/>
      <w:bookmarkStart w:id="528" w:name="_Toc406984024"/>
      <w:bookmarkStart w:id="529" w:name="_Toc406984171"/>
      <w:bookmarkStart w:id="530" w:name="_Toc406984362"/>
      <w:bookmarkStart w:id="531" w:name="_Toc407069570"/>
      <w:bookmarkStart w:id="532" w:name="_Toc407081535"/>
      <w:bookmarkStart w:id="533" w:name="_Toc407083334"/>
      <w:bookmarkStart w:id="534" w:name="_Toc407084168"/>
      <w:bookmarkStart w:id="535" w:name="_Toc407085287"/>
      <w:bookmarkStart w:id="536" w:name="_Toc407085430"/>
      <w:bookmarkStart w:id="537" w:name="_Toc407085573"/>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r w:rsidRPr="007078D3">
        <w:rPr>
          <w:rFonts w:ascii="Times New Roman" w:hAnsi="Times New Roman"/>
          <w:color w:val="000000"/>
          <w:szCs w:val="20"/>
        </w:rPr>
        <w:t>5.3. Wykonanie koryta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Paliki lub szpilki do prawidłowego ukształtowania koryta w planie i profilu powinny być wcześniej przygotowane.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Paliki lub szpilki należy ustawiać w osi drogi i w rzędach równoległych do osi drogi lub w inny sposób zaakceptowany przez Inżyniera. Rozmieszczenie palików lub szpilek powinno umożliwiać naciągnięcie sznurków lub linek do wytyczenia robót w odstępach nie większych niż co 10 metrów.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Rodzaj sprzętu, a w szczególności jego moc należy dostosować do rodzaju gruntu, w którym prowadzone są roboty i do trudności jego odspojenia.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Koryto można wykonywać ręcznie, gdy jego szerokość nie pozwala na zastosowanie maszyn, na przykład na poszerzeniach lub w przypadku robót o małym zakresie. Sposób wykonania musi być zaakceptowany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Grunt odspojony w czasie wykonywania koryta powinien być wykorzystany zgodnie z ustaleniami dokumentacji projektowej i ST, tj. wbudowany w nasyp lub odwieziony na odkład w miejsce wskazane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Profilowanie i zagęszczenie podłoża należy wykonać zgodnie z zasadami określonymi w pkt 5.4.</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538" w:name="_Toc407086022"/>
      <w:bookmarkStart w:id="539" w:name="_Toc406913854"/>
      <w:bookmarkStart w:id="540" w:name="_Toc406914099"/>
      <w:bookmarkStart w:id="541" w:name="_Toc406914754"/>
      <w:bookmarkStart w:id="542" w:name="_Toc406915332"/>
      <w:bookmarkStart w:id="543" w:name="_Toc406984025"/>
      <w:bookmarkStart w:id="544" w:name="_Toc406984172"/>
      <w:bookmarkStart w:id="545" w:name="_Toc406984363"/>
      <w:bookmarkStart w:id="546" w:name="_Toc407069571"/>
      <w:bookmarkStart w:id="547" w:name="_Toc407081536"/>
      <w:bookmarkStart w:id="548" w:name="_Toc407083335"/>
      <w:bookmarkStart w:id="549" w:name="_Toc407084169"/>
      <w:bookmarkStart w:id="550" w:name="_Toc407085288"/>
      <w:bookmarkStart w:id="551" w:name="_Toc407085431"/>
      <w:bookmarkStart w:id="552" w:name="_Toc407085574"/>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r w:rsidRPr="007078D3">
        <w:rPr>
          <w:rFonts w:ascii="Times New Roman" w:hAnsi="Times New Roman"/>
          <w:color w:val="000000"/>
          <w:szCs w:val="20"/>
        </w:rPr>
        <w:t>5.4. Profilowanie i zagęszczanie podłoża</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Wykop pod koryto należy wykonać zgodnie z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D-02.00.00 [2].</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 xml:space="preserve">W ramach niniejszej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należy wykonać profilowanie i zagęszczenie podłoża w korycie. Gotowe koryto  powinno  spełniać  wymagania  podane  w  dokumentacji projektowej (pochylenia, rzędne wysokościowe).</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Przed przystąpieniem do profilowania podłoże powinno być oczyszczone ze wszelkich zanieczyszczeń.</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 oczyszczeniu powierzchni podłoża należy sprawdzić, czy istniejące rzędne terenu umożliwiają uzyskanie po profilowaniu zaprojektowanych rzędnych podłoża. Zaleca się, aby rzędne dna koryta przed profilowaniem były o co najmniej 5 cm wyższe niż projektowane rzędne podłoża. Jeżeli  rzędne  podłoża  przed  profilowaniem  nie  wymagają  dowiezienia  i  wbudowania  dodatkowego  gruntu  to  przed przystąpieniem do profilowania oczyszczonego podłoża jego powierzchnię należy dogęścić 3-4 przejściami średniego walca stalowego, gładkiego lub w inny sposób zaakceptowany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Jeżeli występują zaniżenia poziomu w podłożu przewidzianym do profilowania, Wykonawca powinien spulchnić podłoże na głębokość zaakceptowaną przez Inżyniera, dowieźć dodatkowy grunt spełniający wymagania obowiązujące dla górnej strefy korpusu, w ilości koniecznej do uzyskania wymaganej w dokumentacji projektowej niwelety i wyprofilować podłoże do odpowiednich rzędnych.</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Do profilowania podłoża należy stosować równiarki. Ścięty grunt powinien być wykorzystany w robotach ziemnych lub w inny sposób zaakceptowany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Bezpośrednio po profilowaniu podłoża należy przystąpić do jego zagęszczania.</w:t>
      </w:r>
    </w:p>
    <w:p w:rsidR="0034055A" w:rsidRPr="007078D3" w:rsidRDefault="0034055A" w:rsidP="00ED04E8">
      <w:pPr>
        <w:pStyle w:val="tekstost"/>
        <w:ind w:firstLine="709"/>
        <w:rPr>
          <w:rFonts w:ascii="Times New Roman" w:hAnsi="Times New Roman"/>
          <w:color w:val="000000"/>
          <w:szCs w:val="20"/>
        </w:rPr>
      </w:pPr>
      <w:r w:rsidRPr="007078D3">
        <w:rPr>
          <w:rFonts w:ascii="Times New Roman" w:hAnsi="Times New Roman"/>
          <w:color w:val="000000"/>
          <w:szCs w:val="20"/>
        </w:rPr>
        <w:t>Wilgotność gruntu podłoża koryta w trakcie zagęszczania powinna być równa wilgotności optymalnej z tolerancjami podanymi w tablicy 1.</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Tablica 1. Dopuszczalne odchyłki dla wilgotność gruntu w podłożu</w:t>
      </w:r>
    </w:p>
    <w:tbl>
      <w:tblPr>
        <w:tblW w:w="0" w:type="auto"/>
        <w:shd w:val="clear" w:color="auto" w:fill="EAEAEA"/>
        <w:tblCellMar>
          <w:left w:w="0" w:type="dxa"/>
          <w:right w:w="0" w:type="dxa"/>
        </w:tblCellMar>
        <w:tblLook w:val="04A0"/>
      </w:tblPr>
      <w:tblGrid>
        <w:gridCol w:w="2975"/>
        <w:gridCol w:w="2976"/>
        <w:gridCol w:w="2976"/>
      </w:tblGrid>
      <w:tr w:rsidR="0034055A" w:rsidRPr="007078D3" w:rsidTr="0034055A">
        <w:tc>
          <w:tcPr>
            <w:tcW w:w="2975" w:type="dxa"/>
            <w:vMerge w:val="restart"/>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Wilgotność optymalna W</w:t>
            </w:r>
            <w:r w:rsidRPr="007078D3">
              <w:rPr>
                <w:rFonts w:ascii="Times New Roman" w:hAnsi="Times New Roman"/>
                <w:sz w:val="18"/>
                <w:szCs w:val="18"/>
                <w:vertAlign w:val="subscript"/>
              </w:rPr>
              <w:t>OTP</w:t>
            </w:r>
          </w:p>
        </w:tc>
        <w:tc>
          <w:tcPr>
            <w:tcW w:w="5952" w:type="dxa"/>
            <w:gridSpan w:val="2"/>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Wilgotność gruntu w warstwie poddanej zagęszczaniu</w:t>
            </w:r>
          </w:p>
        </w:tc>
      </w:tr>
      <w:tr w:rsidR="0034055A" w:rsidRPr="007078D3" w:rsidTr="0034055A">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297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Minimalna</w:t>
            </w:r>
          </w:p>
        </w:tc>
        <w:tc>
          <w:tcPr>
            <w:tcW w:w="297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Maksymalna</w:t>
            </w:r>
          </w:p>
        </w:tc>
      </w:tr>
      <w:tr w:rsidR="0034055A" w:rsidRPr="007078D3" w:rsidTr="0034055A">
        <w:tc>
          <w:tcPr>
            <w:tcW w:w="297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&lt;10%</w:t>
            </w:r>
          </w:p>
        </w:tc>
        <w:tc>
          <w:tcPr>
            <w:tcW w:w="297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W</w:t>
            </w:r>
            <w:r w:rsidRPr="007078D3">
              <w:rPr>
                <w:rFonts w:ascii="Times New Roman" w:hAnsi="Times New Roman"/>
                <w:sz w:val="18"/>
                <w:szCs w:val="18"/>
                <w:vertAlign w:val="subscript"/>
              </w:rPr>
              <w:t>OTP</w:t>
            </w:r>
            <w:r w:rsidRPr="007078D3">
              <w:rPr>
                <w:rFonts w:ascii="Times New Roman" w:hAnsi="Times New Roman"/>
                <w:sz w:val="18"/>
                <w:szCs w:val="18"/>
              </w:rPr>
              <w:t>-2%</w:t>
            </w:r>
          </w:p>
        </w:tc>
        <w:tc>
          <w:tcPr>
            <w:tcW w:w="297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W</w:t>
            </w:r>
            <w:r w:rsidRPr="007078D3">
              <w:rPr>
                <w:rFonts w:ascii="Times New Roman" w:hAnsi="Times New Roman"/>
                <w:sz w:val="18"/>
                <w:szCs w:val="18"/>
                <w:vertAlign w:val="subscript"/>
              </w:rPr>
              <w:t>OTP+</w:t>
            </w:r>
            <w:r w:rsidRPr="007078D3">
              <w:rPr>
                <w:rFonts w:ascii="Times New Roman" w:hAnsi="Times New Roman"/>
                <w:sz w:val="18"/>
                <w:szCs w:val="18"/>
              </w:rPr>
              <w:t>1%</w:t>
            </w:r>
          </w:p>
        </w:tc>
      </w:tr>
      <w:tr w:rsidR="0034055A" w:rsidRPr="007078D3" w:rsidTr="0034055A">
        <w:tc>
          <w:tcPr>
            <w:tcW w:w="297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≥10%</w:t>
            </w:r>
          </w:p>
        </w:tc>
        <w:tc>
          <w:tcPr>
            <w:tcW w:w="297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0,8 W</w:t>
            </w:r>
            <w:r w:rsidRPr="007078D3">
              <w:rPr>
                <w:rFonts w:ascii="Times New Roman" w:hAnsi="Times New Roman"/>
                <w:sz w:val="18"/>
                <w:szCs w:val="18"/>
                <w:vertAlign w:val="subscript"/>
              </w:rPr>
              <w:t>OTP</w:t>
            </w:r>
          </w:p>
        </w:tc>
        <w:tc>
          <w:tcPr>
            <w:tcW w:w="297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ED04E8">
            <w:pPr>
              <w:pStyle w:val="tekstost"/>
              <w:jc w:val="center"/>
              <w:rPr>
                <w:rFonts w:ascii="Times New Roman" w:hAnsi="Times New Roman"/>
                <w:sz w:val="18"/>
                <w:szCs w:val="18"/>
              </w:rPr>
            </w:pPr>
            <w:r w:rsidRPr="007078D3">
              <w:rPr>
                <w:rFonts w:ascii="Times New Roman" w:hAnsi="Times New Roman"/>
                <w:sz w:val="18"/>
                <w:szCs w:val="18"/>
              </w:rPr>
              <w:t>1,1 W</w:t>
            </w:r>
            <w:r w:rsidRPr="007078D3">
              <w:rPr>
                <w:rFonts w:ascii="Times New Roman" w:hAnsi="Times New Roman"/>
                <w:sz w:val="18"/>
                <w:szCs w:val="18"/>
                <w:vertAlign w:val="subscript"/>
              </w:rPr>
              <w:t>OTP</w:t>
            </w:r>
          </w:p>
        </w:tc>
      </w:tr>
    </w:tbl>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w:t>
      </w:r>
    </w:p>
    <w:p w:rsidR="0034055A" w:rsidRPr="007078D3" w:rsidRDefault="0034055A" w:rsidP="00ED04E8">
      <w:pPr>
        <w:pStyle w:val="tekstost"/>
        <w:ind w:firstLine="709"/>
        <w:rPr>
          <w:rFonts w:ascii="Times New Roman" w:hAnsi="Times New Roman"/>
          <w:color w:val="000000"/>
          <w:szCs w:val="20"/>
        </w:rPr>
      </w:pPr>
      <w:r w:rsidRPr="007078D3">
        <w:rPr>
          <w:rFonts w:ascii="Times New Roman" w:hAnsi="Times New Roman"/>
          <w:color w:val="000000"/>
          <w:szCs w:val="20"/>
        </w:rPr>
        <w:t>W przypadku gdy wilgotność naturalna gruntów na dnie koryta, wykazuje odchyłki przekraczające wykazane powyżej, Wykonawca dokona doprowadzenia wilgotności gruntu do wilgotności optymalnej poprzez zastosowanie:</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przesuszenia przez zastosowanie wapna palonego,</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naturalnego przesuszenia gruntu,</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dodatkowego zraszania wodą.</w:t>
      </w:r>
    </w:p>
    <w:p w:rsidR="0034055A" w:rsidRPr="007078D3" w:rsidRDefault="0034055A" w:rsidP="00ED04E8">
      <w:pPr>
        <w:pStyle w:val="tekstost"/>
        <w:ind w:firstLine="709"/>
        <w:rPr>
          <w:rFonts w:ascii="Times New Roman" w:hAnsi="Times New Roman"/>
          <w:color w:val="000000"/>
          <w:szCs w:val="20"/>
        </w:rPr>
      </w:pPr>
      <w:r w:rsidRPr="007078D3">
        <w:rPr>
          <w:rFonts w:ascii="Times New Roman" w:hAnsi="Times New Roman"/>
          <w:color w:val="000000"/>
          <w:szCs w:val="20"/>
        </w:rPr>
        <w:t>Nie dopuszcza się zagęszczania gruntu bez wcześniejszego doprowadzenia gruntu do wilgotności optymalnej z tolerancjami podanymi w tabeli 1.</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Zagęszczanie podłoża należy prowadzić do osiągnięcia wskaźnika zagęszczenia nie mniejszego od podanego w tablicy 2. Wskaźnik zagęszczenia należy określać zgodnie z BN-77/8931-12 [3].</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Tablica 2. Minimalne wartości wskaźnika zagęszczenia podłoża (</w:t>
      </w:r>
      <w:r w:rsidRPr="007078D3">
        <w:rPr>
          <w:rStyle w:val="spelle"/>
          <w:rFonts w:ascii="Times New Roman" w:hAnsi="Times New Roman" w:cs="Times New Roman"/>
          <w:color w:val="000000"/>
          <w:szCs w:val="20"/>
        </w:rPr>
        <w:t>I</w:t>
      </w:r>
      <w:r w:rsidRPr="007078D3">
        <w:rPr>
          <w:rStyle w:val="spelle"/>
          <w:rFonts w:ascii="Times New Roman" w:hAnsi="Times New Roman" w:cs="Times New Roman"/>
          <w:color w:val="000000"/>
          <w:szCs w:val="20"/>
          <w:vertAlign w:val="subscript"/>
        </w:rPr>
        <w:t>s</w:t>
      </w:r>
      <w:r w:rsidRPr="007078D3">
        <w:rPr>
          <w:rFonts w:ascii="Times New Roman" w:hAnsi="Times New Roman" w:cs="Times New Roman"/>
          <w:color w:val="000000"/>
          <w:szCs w:val="20"/>
        </w:rPr>
        <w:t>)</w:t>
      </w:r>
    </w:p>
    <w:tbl>
      <w:tblPr>
        <w:tblW w:w="0" w:type="auto"/>
        <w:shd w:val="clear" w:color="auto" w:fill="EAEAEA"/>
        <w:tblCellMar>
          <w:left w:w="0" w:type="dxa"/>
          <w:right w:w="0" w:type="dxa"/>
        </w:tblCellMar>
        <w:tblLook w:val="04A0"/>
      </w:tblPr>
      <w:tblGrid>
        <w:gridCol w:w="2905"/>
        <w:gridCol w:w="1560"/>
        <w:gridCol w:w="1522"/>
        <w:gridCol w:w="1524"/>
      </w:tblGrid>
      <w:tr w:rsidR="0034055A" w:rsidRPr="007078D3" w:rsidTr="0034055A">
        <w:tc>
          <w:tcPr>
            <w:tcW w:w="2905" w:type="dxa"/>
            <w:tcBorders>
              <w:top w:val="single" w:sz="8" w:space="0" w:color="auto"/>
              <w:left w:val="single" w:sz="8" w:space="0" w:color="auto"/>
              <w:bottom w:val="nil"/>
              <w:right w:val="nil"/>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 </w:t>
            </w:r>
          </w:p>
        </w:tc>
        <w:tc>
          <w:tcPr>
            <w:tcW w:w="4606" w:type="dxa"/>
            <w:gridSpan w:val="3"/>
            <w:tcBorders>
              <w:top w:val="single" w:sz="8" w:space="0" w:color="auto"/>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Minimalna wartość </w:t>
            </w:r>
            <w:r w:rsidRPr="007078D3">
              <w:rPr>
                <w:rStyle w:val="spelle"/>
                <w:rFonts w:ascii="Times New Roman" w:hAnsi="Times New Roman" w:cs="Times New Roman"/>
                <w:sz w:val="18"/>
                <w:szCs w:val="18"/>
              </w:rPr>
              <w:t>I</w:t>
            </w:r>
            <w:r w:rsidRPr="007078D3">
              <w:rPr>
                <w:rStyle w:val="spelle"/>
                <w:rFonts w:ascii="Times New Roman" w:hAnsi="Times New Roman" w:cs="Times New Roman"/>
                <w:sz w:val="18"/>
                <w:szCs w:val="18"/>
                <w:vertAlign w:val="subscript"/>
              </w:rPr>
              <w:t>s</w:t>
            </w:r>
            <w:r w:rsidRPr="007078D3">
              <w:rPr>
                <w:rFonts w:ascii="Times New Roman" w:hAnsi="Times New Roman" w:cs="Times New Roman"/>
                <w:sz w:val="18"/>
                <w:szCs w:val="18"/>
              </w:rPr>
              <w:t> dla:</w:t>
            </w:r>
          </w:p>
        </w:tc>
      </w:tr>
      <w:tr w:rsidR="0034055A" w:rsidRPr="007078D3" w:rsidTr="0034055A">
        <w:tc>
          <w:tcPr>
            <w:tcW w:w="2905" w:type="dxa"/>
            <w:tcBorders>
              <w:top w:val="nil"/>
              <w:left w:val="single" w:sz="8" w:space="0" w:color="auto"/>
              <w:bottom w:val="nil"/>
              <w:right w:val="nil"/>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lastRenderedPageBreak/>
              <w:t>Strefa</w:t>
            </w:r>
          </w:p>
        </w:tc>
        <w:tc>
          <w:tcPr>
            <w:tcW w:w="1560" w:type="dxa"/>
            <w:tcBorders>
              <w:top w:val="nil"/>
              <w:left w:val="single" w:sz="8" w:space="0" w:color="auto"/>
              <w:bottom w:val="nil"/>
              <w:right w:val="nil"/>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KR5-KR7</w:t>
            </w:r>
          </w:p>
        </w:tc>
        <w:tc>
          <w:tcPr>
            <w:tcW w:w="1522" w:type="dxa"/>
            <w:vMerge w:val="restart"/>
            <w:tcBorders>
              <w:top w:val="single" w:sz="8" w:space="0" w:color="auto"/>
              <w:left w:val="single" w:sz="8" w:space="0" w:color="auto"/>
              <w:bottom w:val="double" w:sz="6"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KR3-KR4</w:t>
            </w:r>
          </w:p>
        </w:tc>
        <w:tc>
          <w:tcPr>
            <w:tcW w:w="1524" w:type="dxa"/>
            <w:vMerge w:val="restart"/>
            <w:tcBorders>
              <w:top w:val="single" w:sz="8" w:space="0" w:color="auto"/>
              <w:left w:val="nil"/>
              <w:bottom w:val="double" w:sz="6"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KR1-KR2</w:t>
            </w:r>
          </w:p>
        </w:tc>
      </w:tr>
      <w:tr w:rsidR="0034055A" w:rsidRPr="007078D3" w:rsidTr="0034055A">
        <w:tc>
          <w:tcPr>
            <w:tcW w:w="2905" w:type="dxa"/>
            <w:tcBorders>
              <w:top w:val="nil"/>
              <w:left w:val="single" w:sz="8" w:space="0" w:color="auto"/>
              <w:bottom w:val="double" w:sz="6" w:space="0" w:color="auto"/>
              <w:right w:val="nil"/>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Korpusu</w:t>
            </w:r>
          </w:p>
        </w:tc>
        <w:tc>
          <w:tcPr>
            <w:tcW w:w="1560" w:type="dxa"/>
            <w:tcBorders>
              <w:top w:val="nil"/>
              <w:left w:val="single" w:sz="8" w:space="0" w:color="auto"/>
              <w:bottom w:val="double" w:sz="6" w:space="0" w:color="auto"/>
              <w:right w:val="nil"/>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 </w:t>
            </w:r>
          </w:p>
        </w:tc>
        <w:tc>
          <w:tcPr>
            <w:tcW w:w="0" w:type="auto"/>
            <w:vMerge/>
            <w:tcBorders>
              <w:top w:val="single" w:sz="8" w:space="0" w:color="auto"/>
              <w:left w:val="single" w:sz="8" w:space="0" w:color="auto"/>
              <w:bottom w:val="double" w:sz="6"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c>
          <w:tcPr>
            <w:tcW w:w="0" w:type="auto"/>
            <w:vMerge/>
            <w:tcBorders>
              <w:top w:val="single" w:sz="8" w:space="0" w:color="auto"/>
              <w:left w:val="nil"/>
              <w:bottom w:val="double" w:sz="6" w:space="0" w:color="auto"/>
              <w:right w:val="single" w:sz="8" w:space="0" w:color="auto"/>
            </w:tcBorders>
            <w:shd w:val="clear" w:color="auto" w:fill="EAEAEA"/>
            <w:vAlign w:val="center"/>
            <w:hideMark/>
          </w:tcPr>
          <w:p w:rsidR="0034055A" w:rsidRPr="007078D3" w:rsidRDefault="0034055A" w:rsidP="00ED04E8">
            <w:pPr>
              <w:rPr>
                <w:rFonts w:ascii="Times New Roman" w:hAnsi="Times New Roman" w:cs="Times New Roman"/>
                <w:sz w:val="18"/>
                <w:szCs w:val="18"/>
              </w:rPr>
            </w:pPr>
          </w:p>
        </w:tc>
      </w:tr>
      <w:tr w:rsidR="0034055A" w:rsidRPr="007078D3" w:rsidTr="0034055A">
        <w:tc>
          <w:tcPr>
            <w:tcW w:w="2905"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Górna warstwa o grubości 20 cm</w:t>
            </w:r>
          </w:p>
        </w:tc>
        <w:tc>
          <w:tcPr>
            <w:tcW w:w="15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1,03</w:t>
            </w:r>
          </w:p>
        </w:tc>
        <w:tc>
          <w:tcPr>
            <w:tcW w:w="152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1,00</w:t>
            </w:r>
          </w:p>
        </w:tc>
        <w:tc>
          <w:tcPr>
            <w:tcW w:w="152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1,00</w:t>
            </w:r>
          </w:p>
        </w:tc>
      </w:tr>
      <w:tr w:rsidR="0034055A" w:rsidRPr="007078D3" w:rsidTr="0034055A">
        <w:tc>
          <w:tcPr>
            <w:tcW w:w="2905"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Na głębokości od 20 do 50 cm od powierzchni podłoża</w:t>
            </w:r>
          </w:p>
        </w:tc>
        <w:tc>
          <w:tcPr>
            <w:tcW w:w="15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 </w:t>
            </w:r>
          </w:p>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1,00</w:t>
            </w:r>
          </w:p>
        </w:tc>
        <w:tc>
          <w:tcPr>
            <w:tcW w:w="152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 </w:t>
            </w:r>
          </w:p>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1,00</w:t>
            </w:r>
          </w:p>
        </w:tc>
        <w:tc>
          <w:tcPr>
            <w:tcW w:w="152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 </w:t>
            </w:r>
          </w:p>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0,97</w:t>
            </w:r>
          </w:p>
        </w:tc>
      </w:tr>
    </w:tbl>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Wskaźnik zagęszczenia należy badać zgodnie z zasadami podanymi w normie BN-77/8931-12 [3] i obliczać według wzoru określonego w p. 1.4.4, przy czym badania wilgotności optymalnej i maksymalnej gęstości objętościowej szkieletu należy przeprowadzić wg  normy PN-B-04481 [5], pkt 8 (dla gruntów)  i wg normy PN-EN 13286-2 [6]  (dla kruszyw). W oznaczeniu wilgotności optymalnej i maksymalnej gęstości objętościowej szkieletu gruntów i mieszanek kruszyw oraz wartości wskaźnika zagęszczenia </w:t>
      </w:r>
      <w:r w:rsidRPr="007078D3">
        <w:rPr>
          <w:rStyle w:val="spelle"/>
          <w:rFonts w:ascii="Times New Roman" w:hAnsi="Times New Roman" w:cs="Times New Roman"/>
          <w:color w:val="000000"/>
          <w:szCs w:val="20"/>
        </w:rPr>
        <w:t>Is</w:t>
      </w:r>
      <w:r w:rsidRPr="007078D3">
        <w:rPr>
          <w:rFonts w:ascii="Times New Roman" w:hAnsi="Times New Roman" w:cs="Times New Roman"/>
          <w:color w:val="000000"/>
          <w:szCs w:val="20"/>
        </w:rPr>
        <w:t> należy stosować badanie </w:t>
      </w:r>
      <w:r w:rsidRPr="007078D3">
        <w:rPr>
          <w:rStyle w:val="spelle"/>
          <w:rFonts w:ascii="Times New Roman" w:hAnsi="Times New Roman" w:cs="Times New Roman"/>
          <w:color w:val="000000"/>
          <w:szCs w:val="20"/>
        </w:rPr>
        <w:t>Proctora</w:t>
      </w:r>
      <w:r w:rsidRPr="007078D3">
        <w:rPr>
          <w:rFonts w:ascii="Times New Roman" w:hAnsi="Times New Roman" w:cs="Times New Roman"/>
          <w:color w:val="000000"/>
          <w:szCs w:val="20"/>
        </w:rPr>
        <w:t> i energię zagęszczania około 0,6 MJ/m</w:t>
      </w:r>
      <w:r w:rsidRPr="007078D3">
        <w:rPr>
          <w:rFonts w:ascii="Times New Roman" w:hAnsi="Times New Roman" w:cs="Times New Roman"/>
          <w:color w:val="000000"/>
          <w:szCs w:val="20"/>
          <w:vertAlign w:val="superscript"/>
        </w:rPr>
        <w:t>3</w:t>
      </w:r>
      <w:r w:rsidRPr="007078D3">
        <w:rPr>
          <w:rFonts w:ascii="Times New Roman" w:hAnsi="Times New Roman" w:cs="Times New Roman"/>
          <w:color w:val="000000"/>
          <w:szCs w:val="20"/>
        </w:rPr>
        <w:t>.</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Wskaźnik zagęszczenia </w:t>
      </w:r>
      <w:r w:rsidRPr="007078D3">
        <w:rPr>
          <w:rStyle w:val="spelle"/>
          <w:rFonts w:ascii="Times New Roman" w:hAnsi="Times New Roman" w:cs="Times New Roman"/>
          <w:color w:val="000000"/>
          <w:szCs w:val="20"/>
        </w:rPr>
        <w:t>Is</w:t>
      </w:r>
      <w:r w:rsidRPr="007078D3">
        <w:rPr>
          <w:rFonts w:ascii="Times New Roman" w:hAnsi="Times New Roman" w:cs="Times New Roman"/>
          <w:color w:val="000000"/>
          <w:szCs w:val="20"/>
        </w:rPr>
        <w:t> należy określić do głębokości 0,5 metra od spodu konstrukcji nawierzchni.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wystąpienia trudności w pomierzeniu wskaźnika zagęszczenia, dopuszcza się, za zgodą Inżyniera,  kontrolę i ocenę stanu zagęszczenia warstw gruntów na podstawie wskaźnika odkształcenia </w:t>
      </w:r>
      <w:r w:rsidRPr="007078D3">
        <w:rPr>
          <w:rStyle w:val="spelle"/>
          <w:rFonts w:ascii="Times New Roman" w:hAnsi="Times New Roman" w:cs="Times New Roman"/>
          <w:color w:val="000000"/>
          <w:szCs w:val="20"/>
        </w:rPr>
        <w:t>Io</w:t>
      </w:r>
      <w:r w:rsidRPr="007078D3">
        <w:rPr>
          <w:rFonts w:ascii="Times New Roman" w:hAnsi="Times New Roman" w:cs="Times New Roman"/>
          <w:color w:val="000000"/>
          <w:szCs w:val="20"/>
        </w:rPr>
        <w:t xml:space="preserve">, wyznaczonego wg PN-S-02205 [4] (Załącznik B). Wskaźnik odkształcenia należy obliczać według wzoru określonego w p. 1.4.5 na podstawie wartości modułów odkształcenia oznaczanych pod obciążeniem statycznym. Wartość modułu badanego na podstawie wskaźnika odkształcenia  można uznać za miarodajną w odniesieniu do kryteriów określonych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jeżeli wilgotność gruntu/materiału warstwy w czasie badania nie jest wyższa od wilgotności jaką miał on w czasie zagęszczania oraz jest od niej niższa nie więcej niż o 2%.</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Zagęszczenie uznaje się za wystarczające, jeżeli jednocześnie jest spełnione wymaganie dotyczące maksymalnej wartości wskaźnika odkształcenia </w:t>
      </w:r>
      <w:r w:rsidRPr="007078D3">
        <w:rPr>
          <w:rStyle w:val="spelle"/>
          <w:rFonts w:ascii="Times New Roman" w:hAnsi="Times New Roman" w:cs="Times New Roman"/>
          <w:color w:val="000000"/>
          <w:szCs w:val="20"/>
        </w:rPr>
        <w:t>Io≤</w:t>
      </w:r>
      <w:r w:rsidRPr="007078D3">
        <w:rPr>
          <w:rFonts w:ascii="Times New Roman" w:hAnsi="Times New Roman" w:cs="Times New Roman"/>
          <w:color w:val="000000"/>
          <w:szCs w:val="20"/>
        </w:rPr>
        <w:t> 2,2 oraz minimalnej wartości wtórnego modułu odkształcenia E2:</w:t>
      </w:r>
    </w:p>
    <w:p w:rsidR="0034055A" w:rsidRPr="007078D3" w:rsidRDefault="0034055A"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   dla ruchu KR3÷KR7, E</w:t>
      </w:r>
      <w:r w:rsidRPr="007078D3">
        <w:rPr>
          <w:rFonts w:ascii="Times New Roman" w:hAnsi="Times New Roman" w:cs="Times New Roman"/>
          <w:color w:val="000000"/>
          <w:szCs w:val="20"/>
          <w:vertAlign w:val="subscript"/>
        </w:rPr>
        <w:t>2</w:t>
      </w:r>
      <w:r w:rsidRPr="007078D3">
        <w:rPr>
          <w:rFonts w:ascii="Times New Roman" w:hAnsi="Times New Roman" w:cs="Times New Roman"/>
          <w:color w:val="000000"/>
          <w:szCs w:val="20"/>
        </w:rPr>
        <w:t>≥120 </w:t>
      </w:r>
      <w:r w:rsidRPr="007078D3">
        <w:rPr>
          <w:rStyle w:val="spelle"/>
          <w:rFonts w:ascii="Times New Roman" w:hAnsi="Times New Roman" w:cs="Times New Roman"/>
          <w:color w:val="000000"/>
          <w:szCs w:val="20"/>
        </w:rPr>
        <w:t>MPa</w:t>
      </w:r>
      <w:r w:rsidRPr="007078D3">
        <w:rPr>
          <w:rFonts w:ascii="Times New Roman" w:hAnsi="Times New Roman" w:cs="Times New Roman"/>
          <w:color w:val="000000"/>
          <w:szCs w:val="20"/>
        </w:rPr>
        <w:t>,</w:t>
      </w:r>
    </w:p>
    <w:p w:rsidR="0034055A" w:rsidRPr="007078D3" w:rsidRDefault="0034055A"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   dla ruchu KR1÷KR2, E</w:t>
      </w:r>
      <w:r w:rsidRPr="007078D3">
        <w:rPr>
          <w:rFonts w:ascii="Times New Roman" w:hAnsi="Times New Roman" w:cs="Times New Roman"/>
          <w:color w:val="000000"/>
          <w:szCs w:val="20"/>
          <w:vertAlign w:val="subscript"/>
        </w:rPr>
        <w:t>2</w:t>
      </w:r>
      <w:r w:rsidRPr="007078D3">
        <w:rPr>
          <w:rFonts w:ascii="Times New Roman" w:hAnsi="Times New Roman" w:cs="Times New Roman"/>
          <w:color w:val="000000"/>
          <w:szCs w:val="20"/>
        </w:rPr>
        <w:t>≥100 </w:t>
      </w:r>
      <w:r w:rsidRPr="007078D3">
        <w:rPr>
          <w:rStyle w:val="spelle"/>
          <w:rFonts w:ascii="Times New Roman" w:hAnsi="Times New Roman" w:cs="Times New Roman"/>
          <w:color w:val="000000"/>
          <w:szCs w:val="20"/>
        </w:rPr>
        <w:t>MPa</w:t>
      </w:r>
      <w:r w:rsidRPr="007078D3">
        <w:rPr>
          <w:rFonts w:ascii="Times New Roman" w:hAnsi="Times New Roman" w:cs="Times New Roman"/>
          <w:color w:val="000000"/>
          <w:szCs w:val="20"/>
        </w:rPr>
        <w:t>.</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Jeżeli wartości wskaźnika zagęszczenia nie mogą być osiągnięte przez bezpośrednie zagęszczanie gruntów rodzimych, to należy podjąć środki w celu ich ulepszenia, umożliwiające uzyskanie wymaganych wartości wskaźnika zagęszczenia (</w:t>
      </w:r>
      <w:r w:rsidRPr="007078D3">
        <w:rPr>
          <w:rStyle w:val="spelle"/>
          <w:rFonts w:ascii="Times New Roman" w:hAnsi="Times New Roman" w:cs="Times New Roman"/>
          <w:color w:val="000000"/>
          <w:szCs w:val="20"/>
        </w:rPr>
        <w:t>Is</w:t>
      </w:r>
      <w:r w:rsidRPr="007078D3">
        <w:rPr>
          <w:rFonts w:ascii="Times New Roman" w:hAnsi="Times New Roman" w:cs="Times New Roman"/>
          <w:color w:val="000000"/>
          <w:szCs w:val="20"/>
        </w:rPr>
        <w:t> lub </w:t>
      </w:r>
      <w:r w:rsidRPr="007078D3">
        <w:rPr>
          <w:rStyle w:val="spelle"/>
          <w:rFonts w:ascii="Times New Roman" w:hAnsi="Times New Roman" w:cs="Times New Roman"/>
          <w:color w:val="000000"/>
          <w:szCs w:val="20"/>
        </w:rPr>
        <w:t>Io</w:t>
      </w:r>
      <w:r w:rsidRPr="007078D3">
        <w:rPr>
          <w:rFonts w:ascii="Times New Roman" w:hAnsi="Times New Roman" w:cs="Times New Roman"/>
          <w:color w:val="000000"/>
          <w:szCs w:val="20"/>
        </w:rPr>
        <w:t>). Możliwe do zastosowania środki i technologię proponuje Wykonawca i przedstawia do akceptacji Inżynierowi.  </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553" w:name="_Toc407086023"/>
      <w:bookmarkStart w:id="554" w:name="_Toc406913855"/>
      <w:bookmarkStart w:id="555" w:name="_Toc406914100"/>
      <w:bookmarkStart w:id="556" w:name="_Toc406914755"/>
      <w:bookmarkStart w:id="557" w:name="_Toc406915333"/>
      <w:bookmarkStart w:id="558" w:name="_Toc406984026"/>
      <w:bookmarkStart w:id="559" w:name="_Toc406984173"/>
      <w:bookmarkStart w:id="560" w:name="_Toc406984364"/>
      <w:bookmarkStart w:id="561" w:name="_Toc407069572"/>
      <w:bookmarkStart w:id="562" w:name="_Toc407081537"/>
      <w:bookmarkStart w:id="563" w:name="_Toc407083336"/>
      <w:bookmarkStart w:id="564" w:name="_Toc407084170"/>
      <w:bookmarkStart w:id="565" w:name="_Toc407085289"/>
      <w:bookmarkStart w:id="566" w:name="_Toc407085432"/>
      <w:bookmarkStart w:id="567" w:name="_Toc407085575"/>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r w:rsidRPr="007078D3">
        <w:rPr>
          <w:rFonts w:ascii="Times New Roman" w:hAnsi="Times New Roman"/>
          <w:color w:val="000000"/>
          <w:szCs w:val="20"/>
        </w:rPr>
        <w:t>5.5. Utrzymanie koryta oraz wyprofilowanego i zagęszczonego podłoża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Podłoże (koryto) po wyprofilowaniu i zagęszczeniu powinno być utrzymywane w dobrym stanie.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Jeżeli po wykonaniu robót związanych z profilowaniem i zagęszczeniem podłoża nastąpi przerwa w robotach i Wykonawca nie przystąpi natychmiast do układania warstw nawierzchni, to powinien on zabezpieczyć podłoże przed nadmiernym zawilgoceniem, na przykład przez rozłożenie folii lub w inny sposób zaakceptowany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Jeżeli wyprofilowane i zagęszczone podłoże uległo nadmiernemu zawilgoceniu, to do układania kolejnej warstwy można przystąpić dopiero po jego naturalnym osuszeniu.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 osuszeniu podłoża Inżynier oceni jego stan i ewentualnie zaleci wykonanie niezbędnych napraw. Jeżeli zawilgocenie nastąpiło wskutek zaniedbania Wykonawcy, to naprawę wykona on na własny koszt.</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568" w:name="_Toc148973280"/>
      <w:bookmarkStart w:id="569" w:name="_Toc406913856"/>
      <w:bookmarkStart w:id="570" w:name="_Toc406914101"/>
      <w:bookmarkStart w:id="571" w:name="_Toc406914756"/>
      <w:bookmarkStart w:id="572" w:name="_Toc406915334"/>
      <w:bookmarkStart w:id="573" w:name="_Toc406984027"/>
      <w:bookmarkStart w:id="574" w:name="_Toc406984174"/>
      <w:bookmarkStart w:id="575" w:name="_Toc406984365"/>
      <w:bookmarkStart w:id="576" w:name="_Toc407069573"/>
      <w:bookmarkStart w:id="577" w:name="_Toc407081538"/>
      <w:bookmarkStart w:id="578" w:name="_Toc407083337"/>
      <w:bookmarkStart w:id="579" w:name="_Toc407084171"/>
      <w:bookmarkStart w:id="580" w:name="_Toc407085290"/>
      <w:bookmarkStart w:id="581" w:name="_Toc407085433"/>
      <w:bookmarkStart w:id="582" w:name="_Toc407085576"/>
      <w:bookmarkStart w:id="583" w:name="_Toc407086024"/>
      <w:bookmarkStart w:id="584" w:name="_Toc148972796"/>
      <w:bookmarkStart w:id="585" w:name="_Toc148973086"/>
      <w:bookmarkStart w:id="586" w:name="_Toc148973188"/>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r w:rsidRPr="007078D3">
        <w:rPr>
          <w:rFonts w:ascii="Times New Roman" w:hAnsi="Times New Roman"/>
          <w:caps/>
          <w:color w:val="000000"/>
          <w:szCs w:val="20"/>
        </w:rPr>
        <w:t>6. KONTROLA JAKOŚCI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587" w:name="_Toc407086025"/>
      <w:bookmarkStart w:id="588" w:name="_Toc406913857"/>
      <w:bookmarkStart w:id="589" w:name="_Toc406914102"/>
      <w:bookmarkStart w:id="590" w:name="_Toc406914757"/>
      <w:bookmarkStart w:id="591" w:name="_Toc406915335"/>
      <w:bookmarkStart w:id="592" w:name="_Toc406984028"/>
      <w:bookmarkStart w:id="593" w:name="_Toc406984175"/>
      <w:bookmarkStart w:id="594" w:name="_Toc406984366"/>
      <w:bookmarkStart w:id="595" w:name="_Toc407069574"/>
      <w:bookmarkStart w:id="596" w:name="_Toc407081539"/>
      <w:bookmarkStart w:id="597" w:name="_Toc407083338"/>
      <w:bookmarkStart w:id="598" w:name="_Toc407084172"/>
      <w:bookmarkStart w:id="599" w:name="_Toc407085291"/>
      <w:bookmarkStart w:id="600" w:name="_Toc407085434"/>
      <w:bookmarkStart w:id="601" w:name="_Toc407085577"/>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r w:rsidRPr="007078D3">
        <w:rPr>
          <w:rFonts w:ascii="Times New Roman" w:hAnsi="Times New Roman"/>
          <w:color w:val="000000"/>
          <w:szCs w:val="20"/>
        </w:rPr>
        <w:t>6.1. Ogólne zasady kontroli jakości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kontroli jakości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6.</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602" w:name="_Toc407086026"/>
      <w:bookmarkStart w:id="603" w:name="_Toc406913858"/>
      <w:bookmarkStart w:id="604" w:name="_Toc406914103"/>
      <w:bookmarkStart w:id="605" w:name="_Toc406914758"/>
      <w:bookmarkStart w:id="606" w:name="_Toc406915336"/>
      <w:bookmarkStart w:id="607" w:name="_Toc406984029"/>
      <w:bookmarkStart w:id="608" w:name="_Toc406984176"/>
      <w:bookmarkStart w:id="609" w:name="_Toc406984367"/>
      <w:bookmarkStart w:id="610" w:name="_Toc407069575"/>
      <w:bookmarkStart w:id="611" w:name="_Toc407081540"/>
      <w:bookmarkStart w:id="612" w:name="_Toc407083339"/>
      <w:bookmarkStart w:id="613" w:name="_Toc407084173"/>
      <w:bookmarkStart w:id="614" w:name="_Toc407085292"/>
      <w:bookmarkStart w:id="615" w:name="_Toc407085435"/>
      <w:bookmarkStart w:id="616" w:name="_Toc407085578"/>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r w:rsidRPr="007078D3">
        <w:rPr>
          <w:rFonts w:ascii="Times New Roman" w:hAnsi="Times New Roman"/>
          <w:color w:val="000000"/>
          <w:szCs w:val="20"/>
        </w:rPr>
        <w:t>6.2. Badania w czasie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6.2.1. </w:t>
      </w:r>
      <w:r w:rsidRPr="007078D3">
        <w:rPr>
          <w:rFonts w:ascii="Times New Roman" w:hAnsi="Times New Roman" w:cs="Times New Roman"/>
          <w:color w:val="000000"/>
          <w:szCs w:val="20"/>
        </w:rPr>
        <w:t>Częstotliwość oraz zakres badań i pomiarów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Częstotliwość oraz zakres badań i pomiarów dotyczących cech geometrycznych i zagęszczenia koryta i wyprofilowanego podłoża powinny gwarantować zachowanie wymagań jakości robót. Jeśli dokumentacja projektowa nie precyzuje inaczej, można przyjąć częstotliwość badań i pomiarów wg tablicy 3.</w:t>
      </w:r>
    </w:p>
    <w:p w:rsidR="0034055A" w:rsidRPr="007078D3" w:rsidRDefault="0034055A" w:rsidP="00ED04E8">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Tablica 3.   Częstotliwość oraz zakres badań i pomiarów wykonanego koryta i wyprofilowanego podłoża</w:t>
      </w:r>
    </w:p>
    <w:tbl>
      <w:tblPr>
        <w:tblW w:w="0" w:type="auto"/>
        <w:tblInd w:w="70" w:type="dxa"/>
        <w:shd w:val="clear" w:color="auto" w:fill="EAEAEA"/>
        <w:tblCellMar>
          <w:left w:w="0" w:type="dxa"/>
          <w:right w:w="0" w:type="dxa"/>
        </w:tblCellMar>
        <w:tblLook w:val="04A0"/>
      </w:tblPr>
      <w:tblGrid>
        <w:gridCol w:w="491"/>
        <w:gridCol w:w="2247"/>
        <w:gridCol w:w="4703"/>
      </w:tblGrid>
      <w:tr w:rsidR="0034055A" w:rsidRPr="007078D3" w:rsidTr="0034055A">
        <w:tc>
          <w:tcPr>
            <w:tcW w:w="491" w:type="dxa"/>
            <w:tcBorders>
              <w:top w:val="single" w:sz="8" w:space="0" w:color="auto"/>
              <w:left w:val="single" w:sz="8" w:space="0" w:color="auto"/>
              <w:bottom w:val="double" w:sz="6"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Lp.</w:t>
            </w:r>
          </w:p>
        </w:tc>
        <w:tc>
          <w:tcPr>
            <w:tcW w:w="2247" w:type="dxa"/>
            <w:tcBorders>
              <w:top w:val="single" w:sz="8" w:space="0" w:color="auto"/>
              <w:left w:val="nil"/>
              <w:bottom w:val="double" w:sz="6"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Wyszczególnienie badań</w:t>
            </w:r>
          </w:p>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i pomiarów</w:t>
            </w:r>
          </w:p>
        </w:tc>
        <w:tc>
          <w:tcPr>
            <w:tcW w:w="4702" w:type="dxa"/>
            <w:tcBorders>
              <w:top w:val="single" w:sz="8" w:space="0" w:color="auto"/>
              <w:left w:val="nil"/>
              <w:bottom w:val="double" w:sz="6"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Minimalna częstotliwość</w:t>
            </w:r>
          </w:p>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badań i pomiarów</w:t>
            </w:r>
          </w:p>
        </w:tc>
      </w:tr>
      <w:tr w:rsidR="0034055A" w:rsidRPr="007078D3" w:rsidTr="0034055A">
        <w:tc>
          <w:tcPr>
            <w:tcW w:w="491"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1</w:t>
            </w:r>
          </w:p>
        </w:tc>
        <w:tc>
          <w:tcPr>
            <w:tcW w:w="224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Szerokość koryta</w:t>
            </w:r>
          </w:p>
        </w:tc>
        <w:tc>
          <w:tcPr>
            <w:tcW w:w="470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10 razy na 1 km</w:t>
            </w:r>
          </w:p>
        </w:tc>
      </w:tr>
      <w:tr w:rsidR="0034055A" w:rsidRPr="007078D3" w:rsidTr="0034055A">
        <w:tc>
          <w:tcPr>
            <w:tcW w:w="491"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2</w:t>
            </w:r>
          </w:p>
        </w:tc>
        <w:tc>
          <w:tcPr>
            <w:tcW w:w="224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Równość podłużna</w:t>
            </w:r>
          </w:p>
        </w:tc>
        <w:tc>
          <w:tcPr>
            <w:tcW w:w="470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co 20 m na każdym pasie ruchu</w:t>
            </w:r>
          </w:p>
        </w:tc>
      </w:tr>
      <w:tr w:rsidR="0034055A" w:rsidRPr="007078D3" w:rsidTr="0034055A">
        <w:tc>
          <w:tcPr>
            <w:tcW w:w="491"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3</w:t>
            </w:r>
          </w:p>
        </w:tc>
        <w:tc>
          <w:tcPr>
            <w:tcW w:w="224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Równość poprzeczna</w:t>
            </w:r>
          </w:p>
        </w:tc>
        <w:tc>
          <w:tcPr>
            <w:tcW w:w="470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10 razy na 1 km</w:t>
            </w:r>
          </w:p>
        </w:tc>
      </w:tr>
      <w:tr w:rsidR="0034055A" w:rsidRPr="007078D3" w:rsidTr="0034055A">
        <w:tc>
          <w:tcPr>
            <w:tcW w:w="491"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4</w:t>
            </w:r>
          </w:p>
        </w:tc>
        <w:tc>
          <w:tcPr>
            <w:tcW w:w="224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Spadki poprzeczne </w:t>
            </w:r>
            <w:r w:rsidRPr="007078D3">
              <w:rPr>
                <w:rFonts w:ascii="Times New Roman" w:hAnsi="Times New Roman" w:cs="Times New Roman"/>
                <w:sz w:val="18"/>
                <w:szCs w:val="18"/>
                <w:vertAlign w:val="superscript"/>
              </w:rPr>
              <w:t>*)</w:t>
            </w:r>
          </w:p>
        </w:tc>
        <w:tc>
          <w:tcPr>
            <w:tcW w:w="470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10 razy na 1 km</w:t>
            </w:r>
          </w:p>
        </w:tc>
      </w:tr>
      <w:tr w:rsidR="0034055A" w:rsidRPr="007078D3" w:rsidTr="0034055A">
        <w:tc>
          <w:tcPr>
            <w:tcW w:w="491"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5</w:t>
            </w:r>
          </w:p>
        </w:tc>
        <w:tc>
          <w:tcPr>
            <w:tcW w:w="224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Rzędne wysokościowe</w:t>
            </w:r>
          </w:p>
        </w:tc>
        <w:tc>
          <w:tcPr>
            <w:tcW w:w="470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co 25 m w osi jezdni i na jej krawędziach dla autostrad i dróg ekspresowych, co 100 m dla pozostałych dróg</w:t>
            </w:r>
          </w:p>
        </w:tc>
      </w:tr>
      <w:tr w:rsidR="0034055A" w:rsidRPr="007078D3" w:rsidTr="0034055A">
        <w:tc>
          <w:tcPr>
            <w:tcW w:w="491"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6</w:t>
            </w:r>
          </w:p>
        </w:tc>
        <w:tc>
          <w:tcPr>
            <w:tcW w:w="224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Ukształtowanie osi w planie </w:t>
            </w:r>
            <w:r w:rsidRPr="007078D3">
              <w:rPr>
                <w:rFonts w:ascii="Times New Roman" w:hAnsi="Times New Roman" w:cs="Times New Roman"/>
                <w:sz w:val="18"/>
                <w:szCs w:val="18"/>
                <w:vertAlign w:val="superscript"/>
              </w:rPr>
              <w:t>*)</w:t>
            </w:r>
          </w:p>
        </w:tc>
        <w:tc>
          <w:tcPr>
            <w:tcW w:w="470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co 25 m w osi jezdni i na jej krawędziach dla autostrad i dróg ekspresowych, co 100 m dla pozostałych dróg</w:t>
            </w:r>
          </w:p>
        </w:tc>
      </w:tr>
      <w:tr w:rsidR="0034055A" w:rsidRPr="007078D3" w:rsidTr="0034055A">
        <w:tc>
          <w:tcPr>
            <w:tcW w:w="491"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 w:val="18"/>
                <w:szCs w:val="18"/>
              </w:rPr>
            </w:pPr>
            <w:r w:rsidRPr="007078D3">
              <w:rPr>
                <w:rFonts w:ascii="Times New Roman" w:hAnsi="Times New Roman" w:cs="Times New Roman"/>
                <w:sz w:val="18"/>
                <w:szCs w:val="18"/>
              </w:rPr>
              <w:t>7</w:t>
            </w:r>
          </w:p>
        </w:tc>
        <w:tc>
          <w:tcPr>
            <w:tcW w:w="224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Zagęszczenie, wilgotność gruntu podłoża</w:t>
            </w:r>
          </w:p>
        </w:tc>
        <w:tc>
          <w:tcPr>
            <w:tcW w:w="4703"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r w:rsidRPr="007078D3">
              <w:rPr>
                <w:rFonts w:ascii="Times New Roman" w:hAnsi="Times New Roman" w:cs="Times New Roman"/>
                <w:sz w:val="18"/>
                <w:szCs w:val="18"/>
              </w:rPr>
              <w:t>w 2 punktach na dziennej działce roboczej, lecz nie rzadziej niż raz na 500 m</w:t>
            </w:r>
            <w:r w:rsidRPr="007078D3">
              <w:rPr>
                <w:rFonts w:ascii="Times New Roman" w:hAnsi="Times New Roman" w:cs="Times New Roman"/>
                <w:sz w:val="18"/>
                <w:szCs w:val="18"/>
                <w:vertAlign w:val="superscript"/>
              </w:rPr>
              <w:t>2</w:t>
            </w:r>
          </w:p>
        </w:tc>
      </w:tr>
      <w:tr w:rsidR="0034055A" w:rsidRPr="007078D3" w:rsidTr="0034055A">
        <w:tc>
          <w:tcPr>
            <w:tcW w:w="7441" w:type="dxa"/>
            <w:gridSpan w:val="3"/>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7078D3" w:rsidRDefault="0034055A" w:rsidP="00ED04E8">
            <w:pPr>
              <w:rPr>
                <w:rFonts w:ascii="Times New Roman" w:hAnsi="Times New Roman" w:cs="Times New Roman"/>
                <w:sz w:val="18"/>
                <w:szCs w:val="18"/>
              </w:rPr>
            </w:pPr>
            <w:bookmarkStart w:id="617" w:name="_Toc406913859"/>
            <w:bookmarkStart w:id="618" w:name="_Toc406822339"/>
            <w:bookmarkStart w:id="619" w:name="_Toc406914104"/>
            <w:bookmarkEnd w:id="617"/>
            <w:bookmarkEnd w:id="618"/>
            <w:bookmarkEnd w:id="619"/>
            <w:r w:rsidRPr="007078D3">
              <w:rPr>
                <w:rFonts w:ascii="Times New Roman" w:hAnsi="Times New Roman" w:cs="Times New Roman"/>
                <w:sz w:val="18"/>
                <w:szCs w:val="18"/>
              </w:rPr>
              <w:t>*) Dodatkowe pomiary spadków poprzecznych i ukształtowania osi w planie należy wykonać w punktach głównych łuków poziomych           </w:t>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6.2.2. </w:t>
      </w:r>
      <w:r w:rsidRPr="007078D3">
        <w:rPr>
          <w:rFonts w:ascii="Times New Roman" w:hAnsi="Times New Roman" w:cs="Times New Roman"/>
          <w:color w:val="000000"/>
          <w:szCs w:val="20"/>
        </w:rPr>
        <w:t>Szerokość koryta (profilowanego podłoża)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Szerokość koryta i profilowanego podłoża nie może różnić się od szerokości projektowanej o więcej niż +10 cm i -5 cm.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6.2.3. </w:t>
      </w:r>
      <w:r w:rsidRPr="007078D3">
        <w:rPr>
          <w:rFonts w:ascii="Times New Roman" w:hAnsi="Times New Roman" w:cs="Times New Roman"/>
          <w:color w:val="000000"/>
          <w:szCs w:val="20"/>
        </w:rPr>
        <w:t>Równość koryta (profilowanego podłoża)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Równość podłużną koryta i profilowanego podłoża należy mierzyć 4-metrową łatą zgodnie z normą BN-68/8931-04 [7].</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Równość poprzeczną należy mierzyć 2-metrową łatą.</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Nierówności nie mogą przekraczać 20 mm.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6.2.4. </w:t>
      </w:r>
      <w:r w:rsidRPr="007078D3">
        <w:rPr>
          <w:rFonts w:ascii="Times New Roman" w:hAnsi="Times New Roman" w:cs="Times New Roman"/>
          <w:color w:val="000000"/>
          <w:szCs w:val="20"/>
        </w:rPr>
        <w:t>Spadki poprzeczne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Spadki poprzeczne koryta i profilowanego podłoża powinny być zgodne z dokumentacją projektową z tolerancją ± 0,5%.</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6.2.5. </w:t>
      </w:r>
      <w:r w:rsidRPr="007078D3">
        <w:rPr>
          <w:rFonts w:ascii="Times New Roman" w:hAnsi="Times New Roman" w:cs="Times New Roman"/>
          <w:color w:val="000000"/>
          <w:szCs w:val="20"/>
        </w:rPr>
        <w:t>Rzędne wysokościowe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Różnice pomiędzy rzędnymi wysokościowymi koryta lub wyprofilowanego podłoża i rzędnymi projektowanymi nie powinny przekraczać +1 cm, -2 cm.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6.2.6. </w:t>
      </w:r>
      <w:r w:rsidRPr="007078D3">
        <w:rPr>
          <w:rFonts w:ascii="Times New Roman" w:hAnsi="Times New Roman" w:cs="Times New Roman"/>
          <w:color w:val="000000"/>
          <w:szCs w:val="20"/>
        </w:rPr>
        <w:t>Ukształtowanie osi w planie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Oś w planie nie może być przesunięta w stosunku do osi projektowanej o więcej niż ± 3 cm dla autostrad i dróg ekspresowych lub więcej niż ± 5 cm dla pozostałych dróg.</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6.2.7. </w:t>
      </w:r>
      <w:r w:rsidRPr="007078D3">
        <w:rPr>
          <w:rFonts w:ascii="Times New Roman" w:hAnsi="Times New Roman" w:cs="Times New Roman"/>
          <w:color w:val="000000"/>
          <w:szCs w:val="20"/>
        </w:rPr>
        <w:t>Zagęszczenie koryta (profilowanego podłoża)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Wskaźnik zagęszczenia koryta i wyprofilowanego podłoża określony wg BN-77/8931-12 [3] nie powinien być mniejszy od podanego w tablicy 2.</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Jeśli jako kryterium dobrego zagęszczenia stosuje się porównanie wartości modułów odkształcenia, to wartość stosunku wtórnego do pierwotnego modułu odkształcenia, określonych zgodnie z normą PN-S-02205 [4] nie powinna być większa od 2,2.</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Wilgotność w czasie zagęszczania należy badać według PN-B-04481 [5] lub PN-EN 13286-2 [6]. Wilgotność gruntu podłoża powinna być równa wilgotności optymalnej z tolerancją podaną w tablicy 1.</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620" w:name="_Toc406915337"/>
      <w:bookmarkStart w:id="621" w:name="_Toc406984030"/>
      <w:bookmarkStart w:id="622" w:name="_Toc406984177"/>
      <w:bookmarkStart w:id="623" w:name="_Toc406984368"/>
      <w:bookmarkStart w:id="624" w:name="_Toc407069576"/>
      <w:bookmarkStart w:id="625" w:name="_Toc407081541"/>
      <w:bookmarkStart w:id="626" w:name="_Toc407083340"/>
      <w:bookmarkStart w:id="627" w:name="_Toc407084174"/>
      <w:bookmarkStart w:id="628" w:name="_Toc407085293"/>
      <w:bookmarkStart w:id="629" w:name="_Toc407085436"/>
      <w:bookmarkStart w:id="630" w:name="_Toc407085579"/>
      <w:bookmarkStart w:id="631" w:name="_Toc407086027"/>
      <w:bookmarkStart w:id="632" w:name="_Toc406913860"/>
      <w:bookmarkStart w:id="633" w:name="_Toc406914105"/>
      <w:bookmarkStart w:id="634" w:name="_Toc406914759"/>
      <w:bookmarkStart w:id="635" w:name="_Toc406914862"/>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r w:rsidRPr="007078D3">
        <w:rPr>
          <w:rFonts w:ascii="Times New Roman" w:hAnsi="Times New Roman"/>
          <w:color w:val="000000"/>
          <w:szCs w:val="20"/>
        </w:rPr>
        <w:t>6.3. Zasady postępowania z wadliwie wykonanymi odcinkami koryta (profilowanego podłoża)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Wszystkie powierzchnie, które wykazują większe odchylenia cech geometrycznych od określonych w punkcie 6.2 powinny być naprawione przez spulchnienie do głębokości co najmniej 10 cm, wyrównanie i powtórne zagęszczenie. Dodanie nowego materiału bez spulchnienia wykonanej warstwy jest niedopuszczalne.</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636" w:name="_Toc148973281"/>
      <w:bookmarkStart w:id="637" w:name="_Toc406913861"/>
      <w:bookmarkStart w:id="638" w:name="_Toc406914106"/>
      <w:bookmarkStart w:id="639" w:name="_Toc406914760"/>
      <w:bookmarkStart w:id="640" w:name="_Toc406915338"/>
      <w:bookmarkStart w:id="641" w:name="_Toc406984031"/>
      <w:bookmarkStart w:id="642" w:name="_Toc406984178"/>
      <w:bookmarkStart w:id="643" w:name="_Toc406984369"/>
      <w:bookmarkStart w:id="644" w:name="_Toc407069577"/>
      <w:bookmarkStart w:id="645" w:name="_Toc407081542"/>
      <w:bookmarkStart w:id="646" w:name="_Toc407083341"/>
      <w:bookmarkStart w:id="647" w:name="_Toc407084175"/>
      <w:bookmarkStart w:id="648" w:name="_Toc407085294"/>
      <w:bookmarkStart w:id="649" w:name="_Toc407085437"/>
      <w:bookmarkStart w:id="650" w:name="_Toc407085580"/>
      <w:bookmarkStart w:id="651" w:name="_Toc407086028"/>
      <w:bookmarkStart w:id="652" w:name="_Toc148972797"/>
      <w:bookmarkStart w:id="653" w:name="_Toc148973087"/>
      <w:bookmarkStart w:id="654" w:name="_Toc148973189"/>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r w:rsidRPr="007078D3">
        <w:rPr>
          <w:rFonts w:ascii="Times New Roman" w:hAnsi="Times New Roman"/>
          <w:caps/>
          <w:color w:val="000000"/>
          <w:szCs w:val="20"/>
        </w:rPr>
        <w:t>7. OBMIAR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655" w:name="_Toc407086029"/>
      <w:bookmarkStart w:id="656" w:name="_Toc406913862"/>
      <w:bookmarkStart w:id="657" w:name="_Toc406914107"/>
      <w:bookmarkStart w:id="658" w:name="_Toc406914761"/>
      <w:bookmarkStart w:id="659" w:name="_Toc406915339"/>
      <w:bookmarkStart w:id="660" w:name="_Toc406984032"/>
      <w:bookmarkStart w:id="661" w:name="_Toc406984179"/>
      <w:bookmarkStart w:id="662" w:name="_Toc406984370"/>
      <w:bookmarkStart w:id="663" w:name="_Toc407069578"/>
      <w:bookmarkStart w:id="664" w:name="_Toc407081543"/>
      <w:bookmarkStart w:id="665" w:name="_Toc407083342"/>
      <w:bookmarkStart w:id="666" w:name="_Toc407084176"/>
      <w:bookmarkStart w:id="667" w:name="_Toc407085295"/>
      <w:bookmarkStart w:id="668" w:name="_Toc407085438"/>
      <w:bookmarkStart w:id="669" w:name="_Toc407085581"/>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r w:rsidRPr="007078D3">
        <w:rPr>
          <w:rFonts w:ascii="Times New Roman" w:hAnsi="Times New Roman"/>
          <w:color w:val="000000"/>
          <w:szCs w:val="20"/>
        </w:rPr>
        <w:t>7.1. Ogólne zasady obmiaru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obmiaru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7.</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670" w:name="_Toc407086030"/>
      <w:bookmarkStart w:id="671" w:name="_Toc406913863"/>
      <w:bookmarkStart w:id="672" w:name="_Toc406914108"/>
      <w:bookmarkStart w:id="673" w:name="_Toc406914762"/>
      <w:bookmarkStart w:id="674" w:name="_Toc406915340"/>
      <w:bookmarkStart w:id="675" w:name="_Toc406984033"/>
      <w:bookmarkStart w:id="676" w:name="_Toc406984180"/>
      <w:bookmarkStart w:id="677" w:name="_Toc406984371"/>
      <w:bookmarkStart w:id="678" w:name="_Toc407069579"/>
      <w:bookmarkStart w:id="679" w:name="_Toc407081544"/>
      <w:bookmarkStart w:id="680" w:name="_Toc407083343"/>
      <w:bookmarkStart w:id="681" w:name="_Toc407084177"/>
      <w:bookmarkStart w:id="682" w:name="_Toc407085296"/>
      <w:bookmarkStart w:id="683" w:name="_Toc407085439"/>
      <w:bookmarkStart w:id="684" w:name="_Toc407085582"/>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r w:rsidRPr="007078D3">
        <w:rPr>
          <w:rFonts w:ascii="Times New Roman" w:hAnsi="Times New Roman"/>
          <w:color w:val="000000"/>
          <w:szCs w:val="20"/>
        </w:rPr>
        <w:t>7.2. Jednostka obmiarowa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Jednostką obmiarową jest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(metr kwadratowy) wykonanego i odebranego koryta.</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685" w:name="_Toc148973282"/>
      <w:bookmarkStart w:id="686" w:name="_Toc406913864"/>
      <w:bookmarkStart w:id="687" w:name="_Toc406914109"/>
      <w:bookmarkStart w:id="688" w:name="_Toc406914763"/>
      <w:bookmarkStart w:id="689" w:name="_Toc406915341"/>
      <w:bookmarkStart w:id="690" w:name="_Toc406984034"/>
      <w:bookmarkStart w:id="691" w:name="_Toc406984181"/>
      <w:bookmarkStart w:id="692" w:name="_Toc406984372"/>
      <w:bookmarkStart w:id="693" w:name="_Toc407069580"/>
      <w:bookmarkStart w:id="694" w:name="_Toc407081545"/>
      <w:bookmarkStart w:id="695" w:name="_Toc407083344"/>
      <w:bookmarkStart w:id="696" w:name="_Toc407084178"/>
      <w:bookmarkStart w:id="697" w:name="_Toc407085297"/>
      <w:bookmarkStart w:id="698" w:name="_Toc407085440"/>
      <w:bookmarkStart w:id="699" w:name="_Toc407085583"/>
      <w:bookmarkStart w:id="700" w:name="_Toc407086031"/>
      <w:bookmarkStart w:id="701" w:name="_Toc148972798"/>
      <w:bookmarkStart w:id="702" w:name="_Toc148973088"/>
      <w:bookmarkStart w:id="703" w:name="_Toc148973190"/>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r w:rsidRPr="007078D3">
        <w:rPr>
          <w:rFonts w:ascii="Times New Roman" w:hAnsi="Times New Roman"/>
          <w:caps/>
          <w:color w:val="000000"/>
          <w:szCs w:val="20"/>
        </w:rPr>
        <w:t>8. ODBIÓR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odbioru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8.</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Roboty uznaje się za wykonane zgodnie z dokumentacja projektową, ST i wymaganiami Inżyniera, jeżeli wszystkie pomiary i badania z zachowaniem tolerancji wg pkt. 6 dały wyniki pozytywne.</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704" w:name="_Toc148973283"/>
      <w:bookmarkStart w:id="705" w:name="_Toc406913865"/>
      <w:bookmarkStart w:id="706" w:name="_Toc406914110"/>
      <w:bookmarkStart w:id="707" w:name="_Toc406914764"/>
      <w:bookmarkStart w:id="708" w:name="_Toc406915342"/>
      <w:bookmarkStart w:id="709" w:name="_Toc406984035"/>
      <w:bookmarkStart w:id="710" w:name="_Toc406984182"/>
      <w:bookmarkStart w:id="711" w:name="_Toc406984373"/>
      <w:bookmarkStart w:id="712" w:name="_Toc407069581"/>
      <w:bookmarkStart w:id="713" w:name="_Toc407081546"/>
      <w:bookmarkStart w:id="714" w:name="_Toc407083345"/>
      <w:bookmarkStart w:id="715" w:name="_Toc407084179"/>
      <w:bookmarkStart w:id="716" w:name="_Toc407085298"/>
      <w:bookmarkStart w:id="717" w:name="_Toc407085441"/>
      <w:bookmarkStart w:id="718" w:name="_Toc407085584"/>
      <w:bookmarkStart w:id="719" w:name="_Toc407086032"/>
      <w:bookmarkStart w:id="720" w:name="_Toc148972799"/>
      <w:bookmarkStart w:id="721" w:name="_Toc148973089"/>
      <w:bookmarkStart w:id="722" w:name="_Toc148973191"/>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r w:rsidRPr="007078D3">
        <w:rPr>
          <w:rFonts w:ascii="Times New Roman" w:hAnsi="Times New Roman"/>
          <w:caps/>
          <w:color w:val="000000"/>
          <w:szCs w:val="20"/>
        </w:rPr>
        <w:t>9. PODSTAWA PŁATNOŚCI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723" w:name="_Toc407086033"/>
      <w:bookmarkStart w:id="724" w:name="_Toc406913866"/>
      <w:bookmarkStart w:id="725" w:name="_Toc406914111"/>
      <w:bookmarkStart w:id="726" w:name="_Toc406914765"/>
      <w:bookmarkStart w:id="727" w:name="_Toc406915343"/>
      <w:bookmarkStart w:id="728" w:name="_Toc406984036"/>
      <w:bookmarkStart w:id="729" w:name="_Toc406984183"/>
      <w:bookmarkStart w:id="730" w:name="_Toc406984374"/>
      <w:bookmarkStart w:id="731" w:name="_Toc407069582"/>
      <w:bookmarkStart w:id="732" w:name="_Toc407081547"/>
      <w:bookmarkStart w:id="733" w:name="_Toc407083346"/>
      <w:bookmarkStart w:id="734" w:name="_Toc407084180"/>
      <w:bookmarkStart w:id="735" w:name="_Toc407085299"/>
      <w:bookmarkStart w:id="736" w:name="_Toc407085442"/>
      <w:bookmarkStart w:id="737" w:name="_Toc407085585"/>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r w:rsidRPr="007078D3">
        <w:rPr>
          <w:rFonts w:ascii="Times New Roman" w:hAnsi="Times New Roman"/>
          <w:color w:val="000000"/>
          <w:szCs w:val="20"/>
        </w:rPr>
        <w:t>9.1. Ogólne ustalenia dotyczące podstawy płatności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ustalenia dotyczące podstawy płatności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9.</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738" w:name="_Toc407086034"/>
      <w:bookmarkStart w:id="739" w:name="_Toc406913867"/>
      <w:bookmarkStart w:id="740" w:name="_Toc406914112"/>
      <w:bookmarkStart w:id="741" w:name="_Toc406914766"/>
      <w:bookmarkStart w:id="742" w:name="_Toc406915344"/>
      <w:bookmarkStart w:id="743" w:name="_Toc406984037"/>
      <w:bookmarkStart w:id="744" w:name="_Toc406984184"/>
      <w:bookmarkStart w:id="745" w:name="_Toc406984375"/>
      <w:bookmarkStart w:id="746" w:name="_Toc407069583"/>
      <w:bookmarkStart w:id="747" w:name="_Toc407081548"/>
      <w:bookmarkStart w:id="748" w:name="_Toc407083347"/>
      <w:bookmarkStart w:id="749" w:name="_Toc407084181"/>
      <w:bookmarkStart w:id="750" w:name="_Toc407085300"/>
      <w:bookmarkStart w:id="751" w:name="_Toc407085443"/>
      <w:bookmarkStart w:id="752" w:name="_Toc407085586"/>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r w:rsidRPr="007078D3">
        <w:rPr>
          <w:rFonts w:ascii="Times New Roman" w:hAnsi="Times New Roman"/>
          <w:color w:val="000000"/>
          <w:szCs w:val="20"/>
        </w:rPr>
        <w:t>9.2. Cena jednostki obmiarowej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Cena wykonania 1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koryta obejmuje: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prace pomiarowe i roboty przygotowawcze,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odspojenie gruntu z przerzutem na pobocze i rozplantowaniem,</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załadunek nadmiaru odspojonego gruntu na środki transportowe i odwiezienie na odkład lub nasyp,</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ewentualne dowiezienie brakującego gruntu,</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profilowanie dna koryta lub podłoża,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zagęszczenie,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utrzymanie koryta lub podłoża,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przeprowadzenie pomiarów i badań laboratoryjnych, wymaganych w specyfikacji technicznej.</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753" w:name="_Toc148973284"/>
      <w:bookmarkStart w:id="754" w:name="_Toc406913868"/>
      <w:bookmarkStart w:id="755" w:name="_Toc406914113"/>
      <w:bookmarkStart w:id="756" w:name="_Toc406914767"/>
      <w:bookmarkStart w:id="757" w:name="_Toc406915345"/>
      <w:bookmarkStart w:id="758" w:name="_Toc406984038"/>
      <w:bookmarkStart w:id="759" w:name="_Toc406984185"/>
      <w:bookmarkStart w:id="760" w:name="_Toc406984376"/>
      <w:bookmarkStart w:id="761" w:name="_Toc407069584"/>
      <w:bookmarkStart w:id="762" w:name="_Toc407081549"/>
      <w:bookmarkStart w:id="763" w:name="_Toc407083348"/>
      <w:bookmarkStart w:id="764" w:name="_Toc407084182"/>
      <w:bookmarkStart w:id="765" w:name="_Toc407085301"/>
      <w:bookmarkStart w:id="766" w:name="_Toc407085444"/>
      <w:bookmarkStart w:id="767" w:name="_Toc407085587"/>
      <w:bookmarkStart w:id="768" w:name="_Toc407086035"/>
      <w:bookmarkStart w:id="769" w:name="_Toc148972800"/>
      <w:bookmarkStart w:id="770" w:name="_Toc148973090"/>
      <w:bookmarkStart w:id="771" w:name="_Toc14897319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r w:rsidRPr="007078D3">
        <w:rPr>
          <w:rFonts w:ascii="Times New Roman" w:hAnsi="Times New Roman"/>
          <w:caps/>
          <w:color w:val="000000"/>
          <w:szCs w:val="20"/>
        </w:rPr>
        <w:t>10. PRZEPISY ZWIĄZANE</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772" w:name="_Toc407086036"/>
      <w:bookmarkStart w:id="773" w:name="_Toc406913869"/>
      <w:bookmarkStart w:id="774" w:name="_Toc406914114"/>
      <w:bookmarkStart w:id="775" w:name="_Toc406914768"/>
      <w:bookmarkStart w:id="776" w:name="_Toc406915346"/>
      <w:bookmarkStart w:id="777" w:name="_Toc406984039"/>
      <w:bookmarkStart w:id="778" w:name="_Toc406984186"/>
      <w:bookmarkStart w:id="779" w:name="_Toc406984377"/>
      <w:bookmarkStart w:id="780" w:name="_Toc407069585"/>
      <w:bookmarkStart w:id="781" w:name="_Toc407081550"/>
      <w:bookmarkStart w:id="782" w:name="_Toc407083349"/>
      <w:bookmarkStart w:id="783" w:name="_Toc407084183"/>
      <w:bookmarkStart w:id="784" w:name="_Toc407085302"/>
      <w:bookmarkStart w:id="785" w:name="_Toc407085445"/>
      <w:bookmarkStart w:id="786" w:name="_Toc407085588"/>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r w:rsidRPr="007078D3">
        <w:rPr>
          <w:rFonts w:ascii="Times New Roman" w:hAnsi="Times New Roman"/>
          <w:color w:val="000000"/>
          <w:szCs w:val="20"/>
        </w:rPr>
        <w:t>10.1. Ogólne specyfikacje techniczne</w:t>
      </w:r>
    </w:p>
    <w:p w:rsidR="0034055A" w:rsidRPr="007078D3" w:rsidRDefault="0034055A" w:rsidP="00ED04E8">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 1.      D-M-00.00.00.    Wymagania ogólne</w:t>
      </w:r>
    </w:p>
    <w:p w:rsidR="0034055A" w:rsidRPr="007078D3" w:rsidRDefault="0034055A" w:rsidP="00ED04E8">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 2.      D-02.00.00.         Roboty ziemne</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10.2. Normy</w:t>
      </w:r>
    </w:p>
    <w:p w:rsidR="0034055A" w:rsidRPr="007078D3" w:rsidRDefault="0034055A" w:rsidP="00ED04E8">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 3.      BN-77/8931-12   Oznaczanie wskaźnika zagęszczenia gruntu</w:t>
      </w:r>
    </w:p>
    <w:p w:rsidR="0034055A" w:rsidRPr="007078D3" w:rsidRDefault="0034055A" w:rsidP="00ED04E8">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 4.      PN-S-02205         Drogi samochodowe. Roboty ziemne. Wymagania i badania.</w:t>
      </w:r>
    </w:p>
    <w:p w:rsidR="0034055A" w:rsidRPr="007078D3" w:rsidRDefault="0034055A" w:rsidP="00ED04E8">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 5.      PN-B-04481        Grunty budowlane. Badania próbek gruntu</w:t>
      </w:r>
    </w:p>
    <w:p w:rsidR="0034055A" w:rsidRPr="007078D3" w:rsidRDefault="0034055A" w:rsidP="00ED04E8">
      <w:pPr>
        <w:ind w:left="2127" w:hanging="2127"/>
        <w:rPr>
          <w:rFonts w:ascii="Times New Roman" w:hAnsi="Times New Roman" w:cs="Times New Roman"/>
          <w:color w:val="000000"/>
          <w:szCs w:val="20"/>
        </w:rPr>
      </w:pPr>
      <w:r w:rsidRPr="007078D3">
        <w:rPr>
          <w:rFonts w:ascii="Times New Roman" w:hAnsi="Times New Roman" w:cs="Times New Roman"/>
          <w:color w:val="000000"/>
          <w:szCs w:val="20"/>
        </w:rPr>
        <w:t> 6.      PN-EN 13286-2  Mieszanki niezwiązane i związane hydraulicznie. Część 2: Metody badań laboratoryjnych gęstości na sucho i zawartości wody. Zagęszczanie metodą </w:t>
      </w:r>
      <w:r w:rsidRPr="007078D3">
        <w:rPr>
          <w:rStyle w:val="spelle"/>
          <w:rFonts w:ascii="Times New Roman" w:hAnsi="Times New Roman" w:cs="Times New Roman"/>
          <w:color w:val="000000"/>
          <w:szCs w:val="20"/>
        </w:rPr>
        <w:t>Proctora</w:t>
      </w:r>
    </w:p>
    <w:p w:rsidR="0034055A" w:rsidRPr="007078D3" w:rsidRDefault="0034055A" w:rsidP="00ED04E8">
      <w:pPr>
        <w:ind w:left="2127" w:hanging="2127"/>
        <w:rPr>
          <w:rFonts w:ascii="Times New Roman" w:hAnsi="Times New Roman" w:cs="Times New Roman"/>
          <w:color w:val="000000"/>
          <w:szCs w:val="20"/>
        </w:rPr>
      </w:pPr>
      <w:r w:rsidRPr="007078D3">
        <w:rPr>
          <w:rFonts w:ascii="Times New Roman" w:hAnsi="Times New Roman" w:cs="Times New Roman"/>
          <w:color w:val="000000"/>
          <w:szCs w:val="20"/>
        </w:rPr>
        <w:t> 7.      BN-68/8931-04   Drogi samochodowe. Pomiar równości nawierzchni </w:t>
      </w:r>
      <w:r w:rsidRPr="007078D3">
        <w:rPr>
          <w:rStyle w:val="spelle"/>
          <w:rFonts w:ascii="Times New Roman" w:hAnsi="Times New Roman" w:cs="Times New Roman"/>
          <w:color w:val="000000"/>
          <w:szCs w:val="20"/>
        </w:rPr>
        <w:t>planografem</w:t>
      </w:r>
      <w:r w:rsidRPr="007078D3">
        <w:rPr>
          <w:rFonts w:ascii="Times New Roman" w:hAnsi="Times New Roman" w:cs="Times New Roman"/>
          <w:color w:val="000000"/>
          <w:szCs w:val="20"/>
        </w:rPr>
        <w:t> i łatą</w:t>
      </w:r>
    </w:p>
    <w:p w:rsidR="00382265" w:rsidRPr="007078D3" w:rsidRDefault="00382265" w:rsidP="00ED04E8">
      <w:pPr>
        <w:rPr>
          <w:rFonts w:ascii="Times New Roman" w:hAnsi="Times New Roman" w:cs="Times New Roman"/>
          <w:szCs w:val="20"/>
        </w:rPr>
      </w:pPr>
    </w:p>
    <w:p w:rsidR="00382265" w:rsidRPr="007078D3" w:rsidRDefault="00382265" w:rsidP="00ED04E8">
      <w:pPr>
        <w:rPr>
          <w:rFonts w:ascii="Times New Roman" w:hAnsi="Times New Roman" w:cs="Times New Roman"/>
          <w:szCs w:val="20"/>
        </w:rPr>
      </w:pPr>
    </w:p>
    <w:p w:rsidR="00382265" w:rsidRPr="007078D3" w:rsidRDefault="00382265" w:rsidP="00ED04E8">
      <w:pPr>
        <w:rPr>
          <w:rFonts w:ascii="Times New Roman" w:hAnsi="Times New Roman" w:cs="Times New Roman"/>
          <w:szCs w:val="20"/>
        </w:rPr>
      </w:pPr>
    </w:p>
    <w:p w:rsidR="00382265" w:rsidRPr="007078D3" w:rsidRDefault="00382265" w:rsidP="00ED04E8">
      <w:pPr>
        <w:rPr>
          <w:rFonts w:ascii="Times New Roman" w:hAnsi="Times New Roman" w:cs="Times New Roman"/>
          <w:szCs w:val="20"/>
        </w:rPr>
      </w:pPr>
    </w:p>
    <w:p w:rsidR="00382265" w:rsidRPr="007078D3" w:rsidRDefault="00382265" w:rsidP="00ED04E8">
      <w:pPr>
        <w:rPr>
          <w:rFonts w:ascii="Times New Roman" w:hAnsi="Times New Roman" w:cs="Times New Roman"/>
          <w:szCs w:val="20"/>
        </w:rPr>
      </w:pPr>
    </w:p>
    <w:p w:rsidR="00504F7A" w:rsidRDefault="00504F7A" w:rsidP="00ED04E8">
      <w:pPr>
        <w:rPr>
          <w:rFonts w:ascii="Times New Roman" w:hAnsi="Times New Roman" w:cs="Times New Roman"/>
          <w:szCs w:val="20"/>
        </w:rPr>
      </w:pPr>
    </w:p>
    <w:p w:rsidR="00DA78E2" w:rsidRDefault="00DA78E2" w:rsidP="00ED04E8">
      <w:pPr>
        <w:rPr>
          <w:rFonts w:ascii="Times New Roman" w:hAnsi="Times New Roman" w:cs="Times New Roman"/>
          <w:szCs w:val="20"/>
        </w:rPr>
      </w:pPr>
    </w:p>
    <w:p w:rsidR="00DA78E2" w:rsidRDefault="00DA78E2" w:rsidP="00ED04E8">
      <w:pPr>
        <w:rPr>
          <w:rFonts w:ascii="Times New Roman" w:hAnsi="Times New Roman" w:cs="Times New Roman"/>
          <w:szCs w:val="20"/>
        </w:rPr>
      </w:pPr>
    </w:p>
    <w:p w:rsidR="00DA78E2" w:rsidRDefault="00DA78E2" w:rsidP="00ED04E8">
      <w:pPr>
        <w:rPr>
          <w:rFonts w:ascii="Times New Roman" w:hAnsi="Times New Roman" w:cs="Times New Roman"/>
          <w:szCs w:val="20"/>
        </w:rPr>
      </w:pPr>
    </w:p>
    <w:p w:rsidR="00DA78E2" w:rsidRDefault="00DA78E2" w:rsidP="00ED04E8">
      <w:pPr>
        <w:rPr>
          <w:rFonts w:ascii="Times New Roman" w:hAnsi="Times New Roman" w:cs="Times New Roman"/>
          <w:szCs w:val="20"/>
        </w:rPr>
      </w:pPr>
    </w:p>
    <w:p w:rsidR="00DA78E2" w:rsidRPr="007078D3" w:rsidRDefault="00DA78E2" w:rsidP="00ED04E8">
      <w:pPr>
        <w:rPr>
          <w:rFonts w:ascii="Times New Roman" w:hAnsi="Times New Roman" w:cs="Times New Roman"/>
          <w:szCs w:val="20"/>
        </w:rPr>
      </w:pPr>
    </w:p>
    <w:p w:rsidR="00901974" w:rsidRPr="007078D3" w:rsidRDefault="00901974" w:rsidP="00ED04E8">
      <w:pPr>
        <w:pStyle w:val="Bezodstpw"/>
        <w:spacing w:line="240" w:lineRule="auto"/>
        <w:rPr>
          <w:rFonts w:ascii="Times New Roman" w:hAnsi="Times New Roman" w:cs="Times New Roman"/>
          <w:sz w:val="20"/>
          <w:szCs w:val="20"/>
          <w:lang w:eastAsia="pl-PL"/>
        </w:rPr>
      </w:pPr>
      <w:bookmarkStart w:id="787" w:name="_Toc221170390"/>
      <w:r w:rsidRPr="007078D3">
        <w:rPr>
          <w:rFonts w:ascii="Times New Roman" w:hAnsi="Times New Roman" w:cs="Times New Roman"/>
          <w:sz w:val="20"/>
          <w:szCs w:val="20"/>
          <w:lang w:eastAsia="pl-PL"/>
        </w:rPr>
        <w:t>D</w:t>
      </w:r>
      <w:r w:rsidR="00C35FAE" w:rsidRPr="007078D3">
        <w:rPr>
          <w:rFonts w:ascii="Times New Roman" w:hAnsi="Times New Roman" w:cs="Times New Roman"/>
          <w:sz w:val="20"/>
          <w:szCs w:val="20"/>
          <w:lang w:eastAsia="pl-PL"/>
        </w:rPr>
        <w:t>-</w:t>
      </w:r>
      <w:r w:rsidRPr="007078D3">
        <w:rPr>
          <w:rFonts w:ascii="Times New Roman" w:hAnsi="Times New Roman" w:cs="Times New Roman"/>
          <w:sz w:val="20"/>
          <w:szCs w:val="20"/>
          <w:lang w:eastAsia="pl-PL"/>
        </w:rPr>
        <w:t>04.04.02a PODBUDOWA  POMOCNICZA Z  MIESZANKI  KRUSZYWA  NIEZWIĄZANEGO</w:t>
      </w:r>
      <w:bookmarkEnd w:id="787"/>
    </w:p>
    <w:p w:rsidR="00382265" w:rsidRPr="007078D3" w:rsidRDefault="00382265" w:rsidP="00ED04E8">
      <w:pPr>
        <w:pStyle w:val="Bezodstpw"/>
        <w:spacing w:line="240" w:lineRule="auto"/>
        <w:rPr>
          <w:rFonts w:ascii="Times New Roman" w:hAnsi="Times New Roman" w:cs="Times New Roman"/>
          <w:sz w:val="20"/>
          <w:szCs w:val="20"/>
          <w:lang w:eastAsia="pl-PL"/>
        </w:rPr>
      </w:pPr>
    </w:p>
    <w:p w:rsidR="00901974" w:rsidRPr="007078D3" w:rsidRDefault="00901974" w:rsidP="00196DDD">
      <w:r w:rsidRPr="007078D3">
        <w:t> </w:t>
      </w:r>
      <w:bookmarkStart w:id="788" w:name="_Toc344981393"/>
      <w:bookmarkStart w:id="789" w:name="_Toc236626155"/>
      <w:bookmarkStart w:id="790" w:name="_Toc348093920"/>
      <w:bookmarkEnd w:id="788"/>
      <w:bookmarkEnd w:id="789"/>
      <w:r w:rsidRPr="007078D3">
        <w:t>1. Wstęp</w:t>
      </w:r>
      <w:bookmarkEnd w:id="790"/>
    </w:p>
    <w:p w:rsidR="00382265" w:rsidRPr="007078D3" w:rsidRDefault="00382265" w:rsidP="00196DDD"/>
    <w:p w:rsidR="00901974" w:rsidRPr="007078D3" w:rsidRDefault="00901974" w:rsidP="00196DDD">
      <w:bookmarkStart w:id="791" w:name="_Toc407161179"/>
      <w:bookmarkStart w:id="792" w:name="_Toc405615031"/>
      <w:bookmarkEnd w:id="791"/>
      <w:r w:rsidRPr="007078D3">
        <w:t xml:space="preserve">1.1. Przedmiot </w:t>
      </w:r>
      <w:r w:rsidR="00855643" w:rsidRPr="007078D3">
        <w:t>SST</w:t>
      </w:r>
      <w:bookmarkEnd w:id="792"/>
    </w:p>
    <w:p w:rsidR="00382265" w:rsidRPr="007078D3" w:rsidRDefault="00382265" w:rsidP="00196DDD"/>
    <w:p w:rsidR="00901974" w:rsidRPr="007078D3" w:rsidRDefault="00901974" w:rsidP="00196DDD">
      <w:r w:rsidRPr="007078D3">
        <w:t>            Przedmiotem niniejszej ogólnej specyfikacji technicznej (</w:t>
      </w:r>
      <w:r w:rsidR="00855643" w:rsidRPr="007078D3">
        <w:t>SST</w:t>
      </w:r>
      <w:r w:rsidRPr="007078D3">
        <w:t>) są wymagania dotyczące wykonania i odbioru robót związanych z wykonaniem podbudowy pomocniczej z mieszanki kruszywa niezwiązanego.</w:t>
      </w:r>
    </w:p>
    <w:p w:rsidR="00382265" w:rsidRPr="007078D3" w:rsidRDefault="00382265" w:rsidP="00196DDD"/>
    <w:p w:rsidR="00901974" w:rsidRPr="007078D3" w:rsidRDefault="00901974" w:rsidP="00196DDD">
      <w:bookmarkStart w:id="793" w:name="_Toc407161180"/>
      <w:bookmarkStart w:id="794" w:name="_Toc405615032"/>
      <w:bookmarkEnd w:id="793"/>
      <w:r w:rsidRPr="007078D3">
        <w:t xml:space="preserve">1.2. Zakres stosowania </w:t>
      </w:r>
      <w:r w:rsidR="00855643" w:rsidRPr="007078D3">
        <w:t>SST</w:t>
      </w:r>
      <w:bookmarkEnd w:id="794"/>
    </w:p>
    <w:p w:rsidR="00382265" w:rsidRPr="007078D3" w:rsidRDefault="00382265" w:rsidP="00196DDD"/>
    <w:p w:rsidR="00382265" w:rsidRPr="007078D3" w:rsidRDefault="00382265" w:rsidP="00196DDD">
      <w:bookmarkStart w:id="795" w:name="_Toc407161181"/>
      <w:bookmarkStart w:id="796" w:name="_Toc405615033"/>
      <w:bookmarkEnd w:id="795"/>
      <w:r w:rsidRPr="007078D3">
        <w:t>Szczegółowa specyfikacja techniczna dotyczy robót wyszczególnionych w punkcie 1.3.</w:t>
      </w:r>
    </w:p>
    <w:p w:rsidR="00382265" w:rsidRPr="007078D3" w:rsidRDefault="00382265" w:rsidP="00196DDD"/>
    <w:p w:rsidR="00901974" w:rsidRPr="007078D3" w:rsidRDefault="00901974" w:rsidP="00196DDD">
      <w:r w:rsidRPr="007078D3">
        <w:t xml:space="preserve">1.3. Zakres robót objętych </w:t>
      </w:r>
      <w:r w:rsidR="00855643" w:rsidRPr="007078D3">
        <w:t>SST</w:t>
      </w:r>
      <w:bookmarkEnd w:id="796"/>
    </w:p>
    <w:p w:rsidR="00382265" w:rsidRPr="007078D3" w:rsidRDefault="00382265" w:rsidP="00196DDD"/>
    <w:p w:rsidR="00901974" w:rsidRPr="007078D3" w:rsidRDefault="00901974" w:rsidP="00196DDD">
      <w:r w:rsidRPr="007078D3">
        <w:t>            Ustalenia zawarte w niniejszej specyfikacji dotyczą zasad prowadzenia robót związanych z wykonaniem i odbiorem podbudowy pomocniczej z mieszanki kruszywa niezwiązanego, tj. ziarnistego materiału o określonym składzie, w procesie technologicznym, polegającym na odpowiednim zagęszczeniu przy optymalnej wilgotności mieszanki.</w:t>
      </w:r>
    </w:p>
    <w:p w:rsidR="00F22DCD" w:rsidRPr="007078D3" w:rsidRDefault="00F22DCD" w:rsidP="00196DDD"/>
    <w:p w:rsidR="0034055A" w:rsidRPr="007078D3" w:rsidRDefault="0034055A" w:rsidP="00196DDD">
      <w:pPr>
        <w:rPr>
          <w:color w:val="000000"/>
        </w:rPr>
      </w:pPr>
      <w:r w:rsidRPr="007078D3">
        <w:rPr>
          <w:color w:val="000000"/>
        </w:rPr>
        <w:t>1.4. Określenia podstawowe</w:t>
      </w:r>
    </w:p>
    <w:p w:rsidR="0034055A" w:rsidRPr="00EF535A" w:rsidRDefault="0034055A" w:rsidP="00196DDD">
      <w:pPr>
        <w:rPr>
          <w:b/>
          <w:bCs/>
          <w:color w:val="000000"/>
        </w:rPr>
      </w:pPr>
      <w:bookmarkStart w:id="797" w:name="_Toc160536560"/>
      <w:r w:rsidRPr="007078D3">
        <w:rPr>
          <w:b/>
          <w:bCs/>
          <w:color w:val="000000"/>
        </w:rPr>
        <w:t>1</w:t>
      </w:r>
      <w:r w:rsidRPr="00EF535A">
        <w:rPr>
          <w:b/>
          <w:bCs/>
          <w:color w:val="000000"/>
        </w:rPr>
        <w:t>.4.1. Mieszanka niezwiązana – 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bookmarkEnd w:id="797"/>
    </w:p>
    <w:p w:rsidR="0034055A" w:rsidRPr="00EF535A" w:rsidRDefault="0034055A" w:rsidP="00196DDD">
      <w:pPr>
        <w:rPr>
          <w:b/>
          <w:bCs/>
          <w:color w:val="000000"/>
        </w:rPr>
      </w:pPr>
      <w:bookmarkStart w:id="798" w:name="_Toc160536561"/>
      <w:r w:rsidRPr="00EF535A">
        <w:rPr>
          <w:b/>
          <w:bCs/>
          <w:color w:val="000000"/>
        </w:rPr>
        <w:t>1.4.2. Kategoria – charakterystyczny poziom właściwości kruszywa lub mieszanki niezwiązanej, wyrażony, jako przedział wartości lub wartość graniczna. Nie ma zależności pomiędzy kategoriami różnych właściwości.</w:t>
      </w:r>
      <w:bookmarkEnd w:id="798"/>
    </w:p>
    <w:p w:rsidR="0034055A" w:rsidRPr="00EF535A" w:rsidRDefault="0034055A" w:rsidP="00196DDD">
      <w:pPr>
        <w:rPr>
          <w:b/>
          <w:bCs/>
          <w:color w:val="000000"/>
        </w:rPr>
      </w:pPr>
      <w:bookmarkStart w:id="799" w:name="_Toc160536562"/>
      <w:r w:rsidRPr="00EF535A">
        <w:rPr>
          <w:b/>
          <w:bCs/>
          <w:color w:val="000000"/>
        </w:rPr>
        <w:t>1.4.3. Kruszywo – materiał ziarnisty stosowany w budownictwie, który może być naturalny, sztuczny lub z recyklingu.</w:t>
      </w:r>
      <w:bookmarkEnd w:id="799"/>
    </w:p>
    <w:p w:rsidR="0034055A" w:rsidRPr="00EF535A" w:rsidRDefault="0034055A" w:rsidP="00196DDD">
      <w:pPr>
        <w:rPr>
          <w:b/>
          <w:bCs/>
          <w:color w:val="000000"/>
        </w:rPr>
      </w:pPr>
      <w:bookmarkStart w:id="800" w:name="_Toc160536563"/>
      <w:r w:rsidRPr="00EF535A">
        <w:rPr>
          <w:b/>
          <w:bCs/>
          <w:color w:val="000000"/>
        </w:rPr>
        <w:t>1.4.4. Kruszywo naturalne – kruszywo ze złóż naturalnych pochodzenia mineralnego, które może być poddane wyłącznie obróbce mechanicznej. Kruszywo naturalne jest uzyskiwane z mineralnych surowców naturalnych występujących w przyrodzie, jak żwir, piasek, żwir kruszony, kruszywo z mechanicznie rozdrobnionych skał, nadziarna żwirowego lub otoczaków.</w:t>
      </w:r>
      <w:bookmarkEnd w:id="800"/>
    </w:p>
    <w:p w:rsidR="0034055A" w:rsidRPr="00EF535A" w:rsidRDefault="0034055A" w:rsidP="00196DDD">
      <w:pPr>
        <w:rPr>
          <w:b/>
          <w:bCs/>
          <w:color w:val="000000"/>
        </w:rPr>
      </w:pPr>
      <w:bookmarkStart w:id="801" w:name="_Toc160536564"/>
      <w:r w:rsidRPr="00EF535A">
        <w:rPr>
          <w:b/>
          <w:bCs/>
          <w:color w:val="000000"/>
        </w:rPr>
        <w:t>1.4.5. Kruszywo sztuczne – kruszywo pochodzenia mineralnego, uzyskiwane w wyniku procesu przemysłowego obejmującego obróbkę termiczną lub inną modyfikację. Do kruszywa sztucznego zalicza się w szczególności kruszywo z żużli: wielkopiecowych, stalowniczych i pomiedziowych.</w:t>
      </w:r>
      <w:bookmarkEnd w:id="801"/>
    </w:p>
    <w:p w:rsidR="0034055A" w:rsidRPr="00EF535A" w:rsidRDefault="0034055A" w:rsidP="00196DDD">
      <w:pPr>
        <w:rPr>
          <w:b/>
          <w:bCs/>
          <w:color w:val="000000"/>
        </w:rPr>
      </w:pPr>
      <w:bookmarkStart w:id="802" w:name="_Toc160536565"/>
      <w:r w:rsidRPr="00EF535A">
        <w:rPr>
          <w:b/>
          <w:bCs/>
          <w:color w:val="000000"/>
        </w:rPr>
        <w:t>1.4.6. Kruszywo z recyklingu – kruszywo powstałe w wyniku przeróbki materiału zastosowanego uprzednio w budownictwie.</w:t>
      </w:r>
      <w:bookmarkEnd w:id="802"/>
    </w:p>
    <w:p w:rsidR="0034055A" w:rsidRPr="00EF535A" w:rsidRDefault="0034055A" w:rsidP="00196DDD">
      <w:pPr>
        <w:rPr>
          <w:b/>
          <w:bCs/>
          <w:color w:val="000000"/>
        </w:rPr>
      </w:pPr>
      <w:bookmarkStart w:id="803" w:name="_Toc160536566"/>
      <w:r w:rsidRPr="00EF535A">
        <w:rPr>
          <w:b/>
          <w:bCs/>
          <w:color w:val="000000"/>
        </w:rPr>
        <w:t>1.4.7. Kruszywo kamienne – kruszywo z mineralnych surowców jak żwir kruszony, mechanicznie rozdrobnione skały, nadziarno żwirowe.</w:t>
      </w:r>
      <w:bookmarkEnd w:id="803"/>
    </w:p>
    <w:p w:rsidR="0034055A" w:rsidRPr="00EF535A" w:rsidRDefault="0034055A" w:rsidP="00196DDD">
      <w:pPr>
        <w:rPr>
          <w:b/>
          <w:bCs/>
          <w:color w:val="000000"/>
        </w:rPr>
      </w:pPr>
      <w:bookmarkStart w:id="804" w:name="_Toc160536567"/>
      <w:r w:rsidRPr="00EF535A">
        <w:rPr>
          <w:b/>
          <w:bCs/>
          <w:color w:val="000000"/>
        </w:rPr>
        <w:t>1.4.8. Kruszywo żużlowe z żużla wielkopiecowego – 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bookmarkEnd w:id="804"/>
    </w:p>
    <w:p w:rsidR="0034055A" w:rsidRPr="00EF535A" w:rsidRDefault="0034055A" w:rsidP="00196DDD">
      <w:pPr>
        <w:rPr>
          <w:b/>
          <w:bCs/>
          <w:color w:val="000000"/>
        </w:rPr>
      </w:pPr>
      <w:bookmarkStart w:id="805" w:name="_Toc160536568"/>
      <w:r w:rsidRPr="00EF535A">
        <w:rPr>
          <w:b/>
          <w:bCs/>
          <w:color w:val="000000"/>
        </w:rPr>
        <w:t>1.4.9. Kruszywo żużlowe z żużla stalowniczego – kruszywo składające się głównie ze skrystalizowanego krzemianu wapnia i ferrytu zawierającego CaO, SiO</w:t>
      </w:r>
      <w:r w:rsidRPr="00EF535A">
        <w:rPr>
          <w:b/>
          <w:bCs/>
          <w:color w:val="000000"/>
          <w:vertAlign w:val="subscript"/>
        </w:rPr>
        <w:t>2</w:t>
      </w:r>
      <w:r w:rsidRPr="00EF535A">
        <w:rPr>
          <w:b/>
          <w:bCs/>
          <w:color w:val="000000"/>
        </w:rPr>
        <w:t>, MgO oraz tlenek żelaza. Kruszywo otrzymuje się przez powolne schładzanie powietrzem ciekłego żużla stalowniczego. Proces chłodzenia może odbywać się przy kontrolowanym dodawaniu wody.</w:t>
      </w:r>
      <w:bookmarkEnd w:id="805"/>
    </w:p>
    <w:p w:rsidR="0034055A" w:rsidRPr="00EF535A" w:rsidRDefault="0034055A" w:rsidP="00196DDD">
      <w:pPr>
        <w:rPr>
          <w:b/>
          <w:bCs/>
          <w:color w:val="000000"/>
        </w:rPr>
      </w:pPr>
      <w:bookmarkStart w:id="806" w:name="_Toc160536569"/>
      <w:r w:rsidRPr="00EF535A">
        <w:rPr>
          <w:b/>
          <w:bCs/>
          <w:color w:val="000000"/>
        </w:rPr>
        <w:t>1.4.10. Kategoria ruchu (KR1 ÷ KR7) – jeden z przedziałów określających ruch projektowy od KR1 do KR7 w zależności od sumarycznej liczby osi równoważnych 100 kN w okresie projektowym według „Katalogu typowych konstrukcji nawierzchni podatnych i półsztywnych”, GDDKiA, Warszawa 2014 [27].</w:t>
      </w:r>
      <w:bookmarkEnd w:id="806"/>
    </w:p>
    <w:p w:rsidR="0034055A" w:rsidRPr="00EF535A" w:rsidRDefault="0034055A" w:rsidP="00196DDD">
      <w:pPr>
        <w:rPr>
          <w:b/>
          <w:bCs/>
          <w:color w:val="000000"/>
        </w:rPr>
      </w:pPr>
      <w:bookmarkStart w:id="807" w:name="_Toc160536570"/>
      <w:r w:rsidRPr="00EF535A">
        <w:rPr>
          <w:b/>
          <w:bCs/>
          <w:color w:val="000000"/>
        </w:rPr>
        <w:t>1.4.11. Kruszywo grube (wg PN-EN 13242) – oznaczenie kruszywa o wymiarach ziaren </w:t>
      </w:r>
      <w:r w:rsidRPr="00EF535A">
        <w:rPr>
          <w:b/>
          <w:bCs/>
          <w:i/>
          <w:iCs/>
          <w:color w:val="000000"/>
        </w:rPr>
        <w:t>d </w:t>
      </w:r>
      <w:r w:rsidRPr="00EF535A">
        <w:rPr>
          <w:b/>
          <w:bCs/>
          <w:color w:val="000000"/>
        </w:rPr>
        <w:t>(dolnego) równym lub większym niż 1 mm oraz </w:t>
      </w:r>
      <w:r w:rsidRPr="00EF535A">
        <w:rPr>
          <w:b/>
          <w:bCs/>
          <w:i/>
          <w:iCs/>
          <w:color w:val="000000"/>
        </w:rPr>
        <w:t>D </w:t>
      </w:r>
      <w:r w:rsidRPr="00EF535A">
        <w:rPr>
          <w:b/>
          <w:bCs/>
          <w:color w:val="000000"/>
        </w:rPr>
        <w:t>(górnego) większym niż 2 mm.</w:t>
      </w:r>
      <w:bookmarkEnd w:id="807"/>
    </w:p>
    <w:p w:rsidR="0034055A" w:rsidRPr="00EF535A" w:rsidRDefault="0034055A" w:rsidP="00196DDD">
      <w:pPr>
        <w:rPr>
          <w:b/>
          <w:bCs/>
          <w:color w:val="000000"/>
        </w:rPr>
      </w:pPr>
      <w:bookmarkStart w:id="808" w:name="_Toc160536571"/>
      <w:r w:rsidRPr="00EF535A">
        <w:rPr>
          <w:b/>
          <w:bCs/>
          <w:color w:val="000000"/>
        </w:rPr>
        <w:t>1.4.12. Kruszywo drobne (wg PN-EN 13242) – oznaczenie kruszywa o wymiarach ziaren </w:t>
      </w:r>
      <w:r w:rsidRPr="00EF535A">
        <w:rPr>
          <w:b/>
          <w:bCs/>
          <w:i/>
          <w:iCs/>
          <w:color w:val="000000"/>
        </w:rPr>
        <w:t>d</w:t>
      </w:r>
      <w:r w:rsidRPr="00EF535A">
        <w:rPr>
          <w:b/>
          <w:bCs/>
          <w:color w:val="000000"/>
        </w:rPr>
        <w:t> równym 0 oraz </w:t>
      </w:r>
      <w:r w:rsidRPr="00EF535A">
        <w:rPr>
          <w:b/>
          <w:bCs/>
          <w:i/>
          <w:iCs/>
          <w:color w:val="000000"/>
        </w:rPr>
        <w:t>D</w:t>
      </w:r>
      <w:r w:rsidRPr="00EF535A">
        <w:rPr>
          <w:b/>
          <w:bCs/>
          <w:color w:val="000000"/>
        </w:rPr>
        <w:t> równym 6,3 mm lub mniejszym.</w:t>
      </w:r>
      <w:bookmarkEnd w:id="808"/>
    </w:p>
    <w:p w:rsidR="0034055A" w:rsidRPr="00EF535A" w:rsidRDefault="0034055A" w:rsidP="00196DDD">
      <w:pPr>
        <w:rPr>
          <w:b/>
          <w:bCs/>
          <w:color w:val="000000"/>
        </w:rPr>
      </w:pPr>
      <w:bookmarkStart w:id="809" w:name="_Toc160536572"/>
      <w:r w:rsidRPr="00EF535A">
        <w:rPr>
          <w:b/>
          <w:bCs/>
          <w:color w:val="000000"/>
        </w:rPr>
        <w:t>1.4.13. Kruszywo o ciągłym uziarnieniu (wg PN-EN 13242) – kruszywo stanowiące mieszankę kruszyw grubych i drobnych, w której </w:t>
      </w:r>
      <w:r w:rsidRPr="00EF535A">
        <w:rPr>
          <w:b/>
          <w:bCs/>
          <w:i/>
          <w:iCs/>
          <w:color w:val="000000"/>
        </w:rPr>
        <w:t>D</w:t>
      </w:r>
      <w:r w:rsidRPr="00EF535A">
        <w:rPr>
          <w:b/>
          <w:bCs/>
          <w:color w:val="000000"/>
        </w:rPr>
        <w:t> jest większe niż 6,3 mm.</w:t>
      </w:r>
      <w:bookmarkEnd w:id="809"/>
    </w:p>
    <w:p w:rsidR="0034055A" w:rsidRPr="00EF535A" w:rsidRDefault="0034055A" w:rsidP="00196DDD">
      <w:pPr>
        <w:rPr>
          <w:b/>
          <w:bCs/>
          <w:color w:val="000000"/>
        </w:rPr>
      </w:pPr>
      <w:bookmarkStart w:id="810" w:name="_Toc160536573"/>
      <w:r w:rsidRPr="00EF535A">
        <w:rPr>
          <w:b/>
          <w:bCs/>
          <w:color w:val="000000"/>
        </w:rPr>
        <w:t>1.4.14. Destrukt asfaltowy – materiał drogowy pochodzący z frezowania istniejących warstw z mieszanek mineralno-asfaltowych (mma) lub z przekruszenia kawałków warstw nawierzchni asfaltowych oraz niewbudowanych partii mma, który został ujednorodniony pod względem składu oraz co najmniej przesiany, w celu odrzucenia dużych kawałków mma (nadziarno nie większe od 1,4 D mieszanki niezwiązanej).</w:t>
      </w:r>
      <w:bookmarkEnd w:id="810"/>
    </w:p>
    <w:p w:rsidR="0034055A" w:rsidRPr="00EF535A" w:rsidRDefault="0034055A" w:rsidP="00196DDD">
      <w:pPr>
        <w:rPr>
          <w:b/>
          <w:bCs/>
          <w:color w:val="000000"/>
        </w:rPr>
      </w:pPr>
      <w:bookmarkStart w:id="811" w:name="_Toc160536574"/>
      <w:r w:rsidRPr="00EF535A">
        <w:rPr>
          <w:b/>
          <w:bCs/>
          <w:color w:val="000000"/>
        </w:rPr>
        <w:t xml:space="preserve">1.4.15. Kruszywa słabe – kruszywo przewidziane do zastosowania w mieszance przeznaczonej do wykonywania warstw nawierzchni drogowej lub podłoża ulepszonego, które charakteryzuje się różnicami w uziarnieniu przed i po 5-krotnym zagęszczeniu metodą Proctora, przekraczającymi ± 8%. Uziarnienie kruszywa należy sprawdzać na sitach przewidzianych do kontroli uziarnienia wg PN-EN 13285 i niniejszej </w:t>
      </w:r>
      <w:r w:rsidR="00985629">
        <w:rPr>
          <w:b/>
          <w:bCs/>
          <w:color w:val="000000"/>
        </w:rPr>
        <w:t>SST</w:t>
      </w:r>
      <w:r w:rsidRPr="00EF535A">
        <w:rPr>
          <w:b/>
          <w:bCs/>
          <w:color w:val="000000"/>
        </w:rPr>
        <w:t>. O zakwalifikowaniu kruszywa do kruszyw słabych decyduje największa różnica wartości przesiewów na jednym z sit kontrolnych.</w:t>
      </w:r>
      <w:bookmarkEnd w:id="811"/>
    </w:p>
    <w:p w:rsidR="0034055A" w:rsidRPr="00EF535A" w:rsidRDefault="0034055A" w:rsidP="00196DDD">
      <w:pPr>
        <w:rPr>
          <w:b/>
          <w:bCs/>
          <w:color w:val="000000"/>
        </w:rPr>
      </w:pPr>
      <w:bookmarkStart w:id="812" w:name="_Toc160536575"/>
      <w:r w:rsidRPr="00EF535A">
        <w:rPr>
          <w:b/>
          <w:bCs/>
          <w:color w:val="000000"/>
        </w:rPr>
        <w:t>1.4.16. Podbudowa – dolna część konstrukcji nawierzchni drogi, służąca do przenoszenia obciążeń z ruchu na podłoże. Podbudowa może składać się z podbudowy zasadniczej i pomocniczej, które mogą być wykonywane w kilku warstwach technologicznych.</w:t>
      </w:r>
      <w:bookmarkEnd w:id="812"/>
    </w:p>
    <w:p w:rsidR="0034055A" w:rsidRPr="00EF535A" w:rsidRDefault="0034055A" w:rsidP="00196DDD">
      <w:pPr>
        <w:rPr>
          <w:b/>
          <w:bCs/>
          <w:color w:val="000000"/>
        </w:rPr>
      </w:pPr>
      <w:bookmarkStart w:id="813" w:name="_Toc160536576"/>
      <w:r w:rsidRPr="00EF535A">
        <w:rPr>
          <w:b/>
          <w:bCs/>
          <w:color w:val="000000"/>
        </w:rPr>
        <w:lastRenderedPageBreak/>
        <w:t>W przypadku wzmacniania, konstrukcję istniejącej nawierzchni drogi uważa się za podbudowę.</w:t>
      </w:r>
      <w:bookmarkEnd w:id="813"/>
    </w:p>
    <w:p w:rsidR="0034055A" w:rsidRPr="00EF535A" w:rsidRDefault="0034055A" w:rsidP="00196DDD">
      <w:pPr>
        <w:rPr>
          <w:b/>
          <w:bCs/>
          <w:color w:val="000000"/>
        </w:rPr>
      </w:pPr>
      <w:bookmarkStart w:id="814" w:name="_Toc160536577"/>
      <w:r w:rsidRPr="00EF535A">
        <w:rPr>
          <w:b/>
          <w:bCs/>
          <w:color w:val="000000"/>
        </w:rPr>
        <w:t>1.4.17. Podbudowa pomocnicza – warstwa zapewniająca przenoszenie obciążeń z warstwy podbudowy zasadniczej na warstwę podłoża. Podbudowa pomocnicza może składać się z kilku warstw o różnych właściwościach.</w:t>
      </w:r>
      <w:bookmarkEnd w:id="814"/>
    </w:p>
    <w:p w:rsidR="0034055A" w:rsidRPr="00EF535A" w:rsidRDefault="0034055A" w:rsidP="00196DDD">
      <w:pPr>
        <w:rPr>
          <w:b/>
          <w:bCs/>
          <w:color w:val="000000"/>
        </w:rPr>
      </w:pPr>
      <w:bookmarkStart w:id="815" w:name="_Toc160536578"/>
      <w:r w:rsidRPr="00EF535A">
        <w:rPr>
          <w:b/>
          <w:bCs/>
          <w:color w:val="000000"/>
        </w:rPr>
        <w:t>1.4.18. Symbole i skróty dodatkowe</w:t>
      </w:r>
      <w:bookmarkEnd w:id="815"/>
    </w:p>
    <w:p w:rsidR="0034055A" w:rsidRPr="00EF535A" w:rsidRDefault="0034055A" w:rsidP="00196DDD">
      <w:pPr>
        <w:rPr>
          <w:b/>
          <w:bCs/>
          <w:color w:val="000000"/>
        </w:rPr>
      </w:pPr>
      <w:bookmarkStart w:id="816" w:name="_Toc160536579"/>
      <w:r w:rsidRPr="00EF535A">
        <w:rPr>
          <w:b/>
          <w:bCs/>
          <w:color w:val="000000"/>
        </w:rPr>
        <w:t>% m/m   procent masy,</w:t>
      </w:r>
      <w:bookmarkEnd w:id="816"/>
    </w:p>
    <w:p w:rsidR="0034055A" w:rsidRPr="00EF535A" w:rsidRDefault="0034055A" w:rsidP="00196DDD">
      <w:pPr>
        <w:rPr>
          <w:b/>
          <w:bCs/>
          <w:color w:val="000000"/>
        </w:rPr>
      </w:pPr>
      <w:bookmarkStart w:id="817" w:name="_Toc160536580"/>
      <w:r w:rsidRPr="00EF535A">
        <w:rPr>
          <w:b/>
          <w:bCs/>
          <w:color w:val="000000"/>
        </w:rPr>
        <w:t>NR         brak konieczności badania danej cechy,</w:t>
      </w:r>
      <w:bookmarkEnd w:id="817"/>
    </w:p>
    <w:p w:rsidR="0034055A" w:rsidRPr="00EF535A" w:rsidRDefault="0034055A" w:rsidP="00196DDD">
      <w:pPr>
        <w:rPr>
          <w:b/>
          <w:bCs/>
          <w:color w:val="000000"/>
        </w:rPr>
      </w:pPr>
      <w:bookmarkStart w:id="818" w:name="_Toc160536581"/>
      <w:r w:rsidRPr="00EF535A">
        <w:rPr>
          <w:b/>
          <w:bCs/>
          <w:color w:val="000000"/>
        </w:rPr>
        <w:t>CRB       kalifornijski wskaźnik nośności, %</w:t>
      </w:r>
      <w:bookmarkEnd w:id="818"/>
    </w:p>
    <w:p w:rsidR="0034055A" w:rsidRPr="00EF535A" w:rsidRDefault="0034055A" w:rsidP="00196DDD">
      <w:pPr>
        <w:rPr>
          <w:b/>
          <w:bCs/>
          <w:color w:val="000000"/>
        </w:rPr>
      </w:pPr>
      <w:bookmarkStart w:id="819" w:name="_Toc160536582"/>
      <w:r w:rsidRPr="00EF535A">
        <w:rPr>
          <w:b/>
          <w:bCs/>
          <w:color w:val="000000"/>
        </w:rPr>
        <w:t>SDV   obszar  uziarnienia,  w  którym  powinna  się mieścić  krzywa  uziarnienia mieszanki (S)  deklarowana przez dostawcę/producenta,</w:t>
      </w:r>
      <w:bookmarkEnd w:id="819"/>
    </w:p>
    <w:p w:rsidR="0034055A" w:rsidRPr="00EF535A" w:rsidRDefault="0034055A" w:rsidP="00196DDD">
      <w:pPr>
        <w:rPr>
          <w:b/>
          <w:bCs/>
          <w:color w:val="000000"/>
        </w:rPr>
      </w:pPr>
      <w:bookmarkStart w:id="820" w:name="_Toc160536583"/>
      <w:r w:rsidRPr="00EF535A">
        <w:rPr>
          <w:b/>
          <w:bCs/>
          <w:color w:val="000000"/>
        </w:rPr>
        <w:t>k            współczynnik filtracji, oznaczony wg ISO/TS 17892-11:2004 [23],</w:t>
      </w:r>
      <w:bookmarkEnd w:id="820"/>
    </w:p>
    <w:p w:rsidR="0034055A" w:rsidRPr="00EF535A" w:rsidRDefault="0034055A" w:rsidP="00196DDD">
      <w:pPr>
        <w:rPr>
          <w:b/>
          <w:bCs/>
          <w:color w:val="000000"/>
        </w:rPr>
      </w:pPr>
      <w:bookmarkStart w:id="821" w:name="_Toc160536584"/>
      <w:r w:rsidRPr="00EF535A">
        <w:rPr>
          <w:b/>
          <w:bCs/>
          <w:color w:val="000000"/>
        </w:rPr>
        <w:t>D</w:t>
      </w:r>
      <w:r w:rsidRPr="00EF535A">
        <w:rPr>
          <w:b/>
          <w:bCs/>
          <w:color w:val="000000"/>
          <w:vertAlign w:val="subscript"/>
        </w:rPr>
        <w:t>15</w:t>
      </w:r>
      <w:r w:rsidRPr="00EF535A">
        <w:rPr>
          <w:b/>
          <w:bCs/>
          <w:color w:val="000000"/>
        </w:rPr>
        <w:t>         wymiar boku oczka sita w mm, przez które przechodzi 15% (m/m) ziaren mieszanki, z której wykonano warstwę podłoża lub nawierzchni,</w:t>
      </w:r>
      <w:bookmarkEnd w:id="821"/>
    </w:p>
    <w:p w:rsidR="0034055A" w:rsidRPr="00EF535A" w:rsidRDefault="0034055A" w:rsidP="00196DDD">
      <w:pPr>
        <w:rPr>
          <w:b/>
          <w:bCs/>
          <w:color w:val="000000"/>
        </w:rPr>
      </w:pPr>
      <w:bookmarkStart w:id="822" w:name="_Toc160536585"/>
      <w:r w:rsidRPr="00EF535A">
        <w:rPr>
          <w:b/>
          <w:bCs/>
          <w:color w:val="000000"/>
        </w:rPr>
        <w:t>d</w:t>
      </w:r>
      <w:r w:rsidRPr="00EF535A">
        <w:rPr>
          <w:b/>
          <w:bCs/>
          <w:color w:val="000000"/>
          <w:vertAlign w:val="subscript"/>
        </w:rPr>
        <w:t>85</w:t>
      </w:r>
      <w:r w:rsidRPr="00EF535A">
        <w:rPr>
          <w:b/>
          <w:bCs/>
          <w:color w:val="000000"/>
        </w:rPr>
        <w:t>       wymiar boku oczka sita w mm, przez które przechodzi 85% (m/m) ziaren gruntu podłoża,</w:t>
      </w:r>
      <w:bookmarkEnd w:id="822"/>
    </w:p>
    <w:p w:rsidR="0034055A" w:rsidRPr="00EF535A" w:rsidRDefault="0034055A" w:rsidP="00196DDD">
      <w:pPr>
        <w:rPr>
          <w:b/>
          <w:bCs/>
          <w:color w:val="000000"/>
        </w:rPr>
      </w:pPr>
      <w:bookmarkStart w:id="823" w:name="_Toc160536586"/>
      <w:r w:rsidRPr="00EF535A">
        <w:rPr>
          <w:b/>
          <w:bCs/>
          <w:color w:val="000000"/>
        </w:rPr>
        <w:t>d</w:t>
      </w:r>
      <w:r w:rsidRPr="00EF535A">
        <w:rPr>
          <w:b/>
          <w:bCs/>
          <w:color w:val="000000"/>
          <w:vertAlign w:val="subscript"/>
        </w:rPr>
        <w:t>50</w:t>
      </w:r>
      <w:r w:rsidRPr="00EF535A">
        <w:rPr>
          <w:b/>
          <w:bCs/>
          <w:color w:val="000000"/>
        </w:rPr>
        <w:t>       wymiar boku oczka sita w mm, przez które przechodzi 50% (m/m) ziaren gruntu podłoża,</w:t>
      </w:r>
      <w:bookmarkEnd w:id="823"/>
    </w:p>
    <w:p w:rsidR="0034055A" w:rsidRPr="00EF535A" w:rsidRDefault="0034055A" w:rsidP="00196DDD">
      <w:pPr>
        <w:rPr>
          <w:b/>
          <w:bCs/>
          <w:color w:val="000000"/>
        </w:rPr>
      </w:pPr>
      <w:bookmarkStart w:id="824" w:name="_Toc160536587"/>
      <w:r w:rsidRPr="00EF535A">
        <w:rPr>
          <w:b/>
          <w:bCs/>
          <w:color w:val="000000"/>
        </w:rPr>
        <w:t>O</w:t>
      </w:r>
      <w:r w:rsidRPr="00EF535A">
        <w:rPr>
          <w:b/>
          <w:bCs/>
          <w:color w:val="000000"/>
          <w:vertAlign w:val="subscript"/>
        </w:rPr>
        <w:t>90</w:t>
      </w:r>
      <w:r w:rsidRPr="00EF535A">
        <w:rPr>
          <w:b/>
          <w:bCs/>
          <w:color w:val="000000"/>
        </w:rPr>
        <w:t>        umowna  średnica porów geowłókniny lub geotkaniny,  odpowiadająca wymiarom frakcji gruntu (podłoża), zatrzymującego się na geowłókninie/geotkaninie w ilości 90% (m/m); wartość parametru O</w:t>
      </w:r>
      <w:r w:rsidRPr="00EF535A">
        <w:rPr>
          <w:b/>
          <w:bCs/>
          <w:color w:val="000000"/>
          <w:vertAlign w:val="subscript"/>
        </w:rPr>
        <w:t>90</w:t>
      </w:r>
      <w:r w:rsidRPr="00EF535A">
        <w:rPr>
          <w:b/>
          <w:bCs/>
          <w:color w:val="000000"/>
        </w:rPr>
        <w:t> powinna być podawana przez producenta geowłókniny,</w:t>
      </w:r>
      <w:bookmarkEnd w:id="824"/>
    </w:p>
    <w:p w:rsidR="0034055A" w:rsidRPr="00EF535A" w:rsidRDefault="0034055A" w:rsidP="00196DDD">
      <w:pPr>
        <w:rPr>
          <w:b/>
          <w:bCs/>
          <w:color w:val="000000"/>
        </w:rPr>
      </w:pPr>
      <w:bookmarkStart w:id="825" w:name="_Toc160536588"/>
      <w:r w:rsidRPr="00EF535A">
        <w:rPr>
          <w:b/>
          <w:bCs/>
          <w:color w:val="000000"/>
        </w:rPr>
        <w:t>ZKP       zakładowa kontrola produkcji.</w:t>
      </w:r>
      <w:bookmarkEnd w:id="825"/>
    </w:p>
    <w:p w:rsidR="0034055A" w:rsidRPr="007078D3" w:rsidRDefault="0034055A" w:rsidP="00196DDD">
      <w:pPr>
        <w:rPr>
          <w:color w:val="000000"/>
        </w:rPr>
      </w:pPr>
      <w:r w:rsidRPr="007078D3">
        <w:rPr>
          <w:b/>
          <w:bCs/>
          <w:color w:val="000000"/>
        </w:rPr>
        <w:t>1.4.19. </w:t>
      </w:r>
      <w:r w:rsidRPr="007078D3">
        <w:rPr>
          <w:color w:val="000000"/>
        </w:rPr>
        <w:t xml:space="preserve">Pozostałe określenia podstawowe są zgodne z obowiązującymi, odpowiednimi polskimi normami i z definicjami podanymi w </w:t>
      </w:r>
      <w:r w:rsidR="00985629">
        <w:rPr>
          <w:color w:val="000000"/>
        </w:rPr>
        <w:t>SST</w:t>
      </w:r>
      <w:r w:rsidRPr="007078D3">
        <w:rPr>
          <w:color w:val="000000"/>
        </w:rPr>
        <w:t xml:space="preserve"> D-M-00.00.00 „Wymagania ogólne” [1], pkt 1.4.</w:t>
      </w:r>
    </w:p>
    <w:p w:rsidR="0034055A" w:rsidRPr="007078D3" w:rsidRDefault="0034055A" w:rsidP="00196DDD">
      <w:pPr>
        <w:rPr>
          <w:color w:val="000000"/>
        </w:rPr>
      </w:pPr>
      <w:r w:rsidRPr="007078D3">
        <w:rPr>
          <w:color w:val="000000"/>
        </w:rPr>
        <w:t>1.5. Ogólne wymagania dotyczące robót</w:t>
      </w:r>
    </w:p>
    <w:p w:rsidR="0034055A" w:rsidRPr="007078D3" w:rsidRDefault="0034055A" w:rsidP="00196DDD">
      <w:pPr>
        <w:rPr>
          <w:color w:val="000000"/>
        </w:rPr>
      </w:pPr>
      <w:r w:rsidRPr="007078D3">
        <w:rPr>
          <w:b/>
          <w:bCs/>
          <w:color w:val="000000"/>
        </w:rPr>
        <w:t>            </w:t>
      </w:r>
      <w:r w:rsidRPr="007078D3">
        <w:rPr>
          <w:color w:val="000000"/>
        </w:rPr>
        <w:t xml:space="preserve">Ogólne wymagania dotyczące robót podano w </w:t>
      </w:r>
      <w:r w:rsidR="00985629">
        <w:rPr>
          <w:color w:val="000000"/>
        </w:rPr>
        <w:t>SST</w:t>
      </w:r>
      <w:r w:rsidRPr="007078D3">
        <w:rPr>
          <w:color w:val="000000"/>
        </w:rPr>
        <w:t xml:space="preserve"> D-M-00.00.00 „Wymagania ogólne” [1], pkt 1.5.</w:t>
      </w:r>
    </w:p>
    <w:p w:rsidR="0034055A" w:rsidRPr="007078D3" w:rsidRDefault="0034055A" w:rsidP="00196DDD">
      <w:pPr>
        <w:rPr>
          <w:caps/>
          <w:color w:val="000000"/>
        </w:rPr>
      </w:pPr>
      <w:bookmarkStart w:id="826" w:name="_Toc348096807"/>
      <w:r w:rsidRPr="007078D3">
        <w:rPr>
          <w:caps/>
          <w:color w:val="000000"/>
        </w:rPr>
        <w:t>2. MATERIAŁY</w:t>
      </w:r>
      <w:bookmarkEnd w:id="826"/>
    </w:p>
    <w:p w:rsidR="0034055A" w:rsidRPr="007078D3" w:rsidRDefault="0034055A" w:rsidP="00196DDD">
      <w:pPr>
        <w:rPr>
          <w:color w:val="000000"/>
        </w:rPr>
      </w:pPr>
      <w:r w:rsidRPr="007078D3">
        <w:rPr>
          <w:color w:val="000000"/>
        </w:rPr>
        <w:t>2.1. Ogólne wymagania dotyczące materiałów</w:t>
      </w:r>
    </w:p>
    <w:p w:rsidR="0034055A" w:rsidRPr="007078D3" w:rsidRDefault="0034055A" w:rsidP="00196DDD">
      <w:pPr>
        <w:rPr>
          <w:color w:val="000000"/>
        </w:rPr>
      </w:pPr>
      <w:r w:rsidRPr="007078D3">
        <w:rPr>
          <w:b/>
          <w:bCs/>
          <w:color w:val="000000"/>
        </w:rPr>
        <w:t>            </w:t>
      </w:r>
      <w:r w:rsidRPr="007078D3">
        <w:rPr>
          <w:color w:val="000000"/>
        </w:rPr>
        <w:t xml:space="preserve">Ogólne wymagania dotyczące materiałów, ich pozyskiwania i składowania, podano w </w:t>
      </w:r>
      <w:r w:rsidR="00985629">
        <w:rPr>
          <w:color w:val="000000"/>
        </w:rPr>
        <w:t>SST</w:t>
      </w:r>
      <w:r w:rsidRPr="007078D3">
        <w:rPr>
          <w:color w:val="000000"/>
        </w:rPr>
        <w:t xml:space="preserve"> D-M-00.00.00 „Wymagania ogólne” [1], pkt 2.</w:t>
      </w:r>
    </w:p>
    <w:p w:rsidR="0034055A" w:rsidRPr="007078D3" w:rsidRDefault="0034055A" w:rsidP="00196DDD">
      <w:pPr>
        <w:rPr>
          <w:color w:val="000000"/>
        </w:rPr>
      </w:pPr>
      <w:r w:rsidRPr="007078D3">
        <w:rPr>
          <w:color w:val="000000"/>
        </w:rPr>
        <w:t>2.2. Materiały do wykonania robót</w:t>
      </w:r>
    </w:p>
    <w:p w:rsidR="0034055A" w:rsidRPr="007078D3" w:rsidRDefault="0034055A" w:rsidP="00196DDD">
      <w:pPr>
        <w:rPr>
          <w:color w:val="000000"/>
        </w:rPr>
      </w:pPr>
      <w:r w:rsidRPr="007078D3">
        <w:rPr>
          <w:b/>
          <w:bCs/>
          <w:color w:val="000000"/>
        </w:rPr>
        <w:t>2.2.1. </w:t>
      </w:r>
      <w:r w:rsidRPr="007078D3">
        <w:rPr>
          <w:color w:val="000000"/>
        </w:rPr>
        <w:t> Zgodność materiałów z dokumentacją projektową</w:t>
      </w:r>
    </w:p>
    <w:p w:rsidR="0034055A" w:rsidRPr="007078D3" w:rsidRDefault="0034055A" w:rsidP="00196DDD">
      <w:pPr>
        <w:rPr>
          <w:color w:val="000000"/>
        </w:rPr>
      </w:pPr>
      <w:r w:rsidRPr="007078D3">
        <w:rPr>
          <w:color w:val="000000"/>
        </w:rPr>
        <w:t>            Materiały do wykonania robót powinny być zgodne z ustaleniami dokumentacji projektowej lub ST.</w:t>
      </w:r>
    </w:p>
    <w:p w:rsidR="0034055A" w:rsidRPr="007078D3" w:rsidRDefault="0034055A" w:rsidP="00196DDD">
      <w:pPr>
        <w:rPr>
          <w:color w:val="000000"/>
        </w:rPr>
      </w:pPr>
      <w:r w:rsidRPr="007078D3">
        <w:rPr>
          <w:b/>
          <w:bCs/>
          <w:color w:val="000000"/>
        </w:rPr>
        <w:t>2.2.2. </w:t>
      </w:r>
      <w:r w:rsidRPr="007078D3">
        <w:rPr>
          <w:color w:val="000000"/>
        </w:rPr>
        <w:t>Materiały wchodzące w skład mieszanki</w:t>
      </w:r>
    </w:p>
    <w:p w:rsidR="0034055A" w:rsidRPr="007078D3" w:rsidRDefault="0034055A" w:rsidP="00196DDD">
      <w:pPr>
        <w:rPr>
          <w:color w:val="000000"/>
        </w:rPr>
      </w:pPr>
      <w:r w:rsidRPr="007078D3">
        <w:rPr>
          <w:color w:val="000000"/>
        </w:rPr>
        <w:t xml:space="preserve">            </w:t>
      </w:r>
      <w:bookmarkStart w:id="827" w:name="_Toc160536589"/>
      <w:r w:rsidRPr="007078D3">
        <w:rPr>
          <w:color w:val="000000"/>
        </w:rPr>
        <w:t>Materiałami stosowanymi do wytwarzania mieszanek z kruszywa niezwiązanego są:</w:t>
      </w:r>
      <w:bookmarkEnd w:id="827"/>
    </w:p>
    <w:p w:rsidR="0034055A" w:rsidRPr="007078D3" w:rsidRDefault="0034055A" w:rsidP="00196DDD">
      <w:pPr>
        <w:rPr>
          <w:color w:val="000000"/>
        </w:rPr>
      </w:pPr>
      <w:bookmarkStart w:id="828" w:name="_Toc160536590"/>
      <w:r w:rsidRPr="007078D3">
        <w:rPr>
          <w:color w:val="000000"/>
        </w:rPr>
        <w:t>–       kruszywo,</w:t>
      </w:r>
      <w:bookmarkEnd w:id="828"/>
    </w:p>
    <w:p w:rsidR="0034055A" w:rsidRPr="007078D3" w:rsidRDefault="0034055A" w:rsidP="00196DDD">
      <w:pPr>
        <w:rPr>
          <w:color w:val="000000"/>
        </w:rPr>
      </w:pPr>
      <w:bookmarkStart w:id="829" w:name="_Toc160536591"/>
      <w:r w:rsidRPr="007078D3">
        <w:rPr>
          <w:color w:val="000000"/>
        </w:rPr>
        <w:t>–       woda do zraszania kruszywa.</w:t>
      </w:r>
      <w:bookmarkEnd w:id="829"/>
    </w:p>
    <w:p w:rsidR="0034055A" w:rsidRPr="007078D3" w:rsidRDefault="0034055A" w:rsidP="00196DDD">
      <w:pPr>
        <w:rPr>
          <w:color w:val="000000"/>
        </w:rPr>
      </w:pPr>
      <w:bookmarkStart w:id="830" w:name="_Toc160536592"/>
      <w:r w:rsidRPr="007078D3">
        <w:rPr>
          <w:b/>
          <w:bCs/>
          <w:color w:val="000000"/>
        </w:rPr>
        <w:t>2.2.3</w:t>
      </w:r>
      <w:r w:rsidRPr="007078D3">
        <w:rPr>
          <w:color w:val="000000"/>
        </w:rPr>
        <w:t>. Kruszywa</w:t>
      </w:r>
      <w:bookmarkEnd w:id="830"/>
    </w:p>
    <w:p w:rsidR="0034055A" w:rsidRPr="007078D3" w:rsidRDefault="0034055A" w:rsidP="00196DDD">
      <w:pPr>
        <w:rPr>
          <w:color w:val="000000"/>
        </w:rPr>
      </w:pPr>
      <w:r w:rsidRPr="007078D3">
        <w:rPr>
          <w:color w:val="000000"/>
        </w:rPr>
        <w:t>          Do mieszanek można stosować następujące rodzaje kruszyw:</w:t>
      </w:r>
    </w:p>
    <w:p w:rsidR="0034055A" w:rsidRPr="007078D3" w:rsidRDefault="0034055A" w:rsidP="00196DDD">
      <w:pPr>
        <w:rPr>
          <w:color w:val="000000"/>
        </w:rPr>
      </w:pPr>
      <w:r w:rsidRPr="007078D3">
        <w:rPr>
          <w:color w:val="000000"/>
        </w:rPr>
        <w:t>a)   kruszywo naturalne lub sztuczne,</w:t>
      </w:r>
    </w:p>
    <w:p w:rsidR="0034055A" w:rsidRPr="007078D3" w:rsidRDefault="0034055A" w:rsidP="00196DDD">
      <w:pPr>
        <w:rPr>
          <w:color w:val="000000"/>
        </w:rPr>
      </w:pPr>
      <w:r w:rsidRPr="007078D3">
        <w:rPr>
          <w:color w:val="000000"/>
        </w:rPr>
        <w:t>b)  kruszywo z recyklingu,</w:t>
      </w:r>
    </w:p>
    <w:p w:rsidR="0034055A" w:rsidRPr="007078D3" w:rsidRDefault="0034055A" w:rsidP="00196DDD">
      <w:pPr>
        <w:rPr>
          <w:color w:val="000000"/>
        </w:rPr>
      </w:pPr>
      <w:r w:rsidRPr="007078D3">
        <w:rPr>
          <w:color w:val="000000"/>
        </w:rPr>
        <w:t>c)   połączenie kruszyw wymienionych w punktach a) i b) z określeniem proporcji kruszyw z a) i b) z dokładnością ± 5% m/m.</w:t>
      </w:r>
    </w:p>
    <w:p w:rsidR="0034055A" w:rsidRPr="007078D3" w:rsidRDefault="0034055A" w:rsidP="00196DDD">
      <w:pPr>
        <w:rPr>
          <w:color w:val="000000"/>
        </w:rPr>
      </w:pPr>
      <w:r w:rsidRPr="007078D3">
        <w:rPr>
          <w:color w:val="000000"/>
        </w:rPr>
        <w:t>Wymagania wobec kruszywa do warstwy podłoża ulepszonego przedstawia tabela 1.</w:t>
      </w:r>
    </w:p>
    <w:p w:rsidR="0034055A" w:rsidRPr="007078D3" w:rsidRDefault="0034055A" w:rsidP="00196DDD">
      <w:pPr>
        <w:rPr>
          <w:color w:val="000000"/>
        </w:rPr>
      </w:pPr>
      <w:r w:rsidRPr="007078D3">
        <w:rPr>
          <w:color w:val="000000"/>
        </w:rPr>
        <w:t xml:space="preserve">Mieszanki o górnym wymiarze ziaren (D) większym niż 80 mm nie są objęte normą PN-EN 13285 [20] i niniejszą </w:t>
      </w:r>
      <w:r w:rsidR="00985629">
        <w:rPr>
          <w:color w:val="000000"/>
        </w:rPr>
        <w:t>SST</w:t>
      </w:r>
      <w:r w:rsidRPr="007078D3">
        <w:rPr>
          <w:color w:val="000000"/>
        </w:rPr>
        <w:t>.</w:t>
      </w:r>
    </w:p>
    <w:p w:rsidR="0034055A" w:rsidRPr="007078D3" w:rsidRDefault="0034055A" w:rsidP="00196DDD">
      <w:pPr>
        <w:rPr>
          <w:color w:val="000000"/>
        </w:rPr>
      </w:pPr>
      <w:r w:rsidRPr="007078D3">
        <w:rPr>
          <w:color w:val="000000"/>
        </w:rPr>
        <w:t>Tabela 1. Wymagania według WT-4 [25] i PN-EN 13242 [19] wobec kruszyw do mieszanek niezwiązanych w warstwie podbudowy pomocniczej</w:t>
      </w:r>
    </w:p>
    <w:p w:rsidR="0034055A" w:rsidRPr="00EF535A" w:rsidRDefault="0034055A" w:rsidP="00196DDD">
      <w:pPr>
        <w:rPr>
          <w:b/>
          <w:bCs/>
          <w:color w:val="000000"/>
        </w:rPr>
      </w:pPr>
      <w:bookmarkStart w:id="831" w:name="_Toc160536593"/>
      <w:r w:rsidRPr="00EF535A">
        <w:rPr>
          <w:b/>
          <w:bCs/>
          <w:color w:val="000000"/>
        </w:rPr>
        <w:t>Skróty użyte w tabeli: Kat. – kategoria właściwości,  Dekl – Deklarowana, wsk. – wskaźnik, wsp. – współczynnik, roz. -rozdział</w:t>
      </w:r>
      <w:bookmarkEnd w:id="831"/>
    </w:p>
    <w:tbl>
      <w:tblPr>
        <w:tblW w:w="8897" w:type="dxa"/>
        <w:shd w:val="clear" w:color="auto" w:fill="EAEAEA"/>
        <w:tblCellMar>
          <w:left w:w="0" w:type="dxa"/>
          <w:right w:w="0" w:type="dxa"/>
        </w:tblCellMar>
        <w:tblLook w:val="04A0"/>
      </w:tblPr>
      <w:tblGrid>
        <w:gridCol w:w="3085"/>
        <w:gridCol w:w="992"/>
        <w:gridCol w:w="851"/>
        <w:gridCol w:w="3969"/>
      </w:tblGrid>
      <w:tr w:rsidR="0034055A" w:rsidRPr="007078D3" w:rsidTr="0034055A">
        <w:tc>
          <w:tcPr>
            <w:tcW w:w="3085" w:type="dxa"/>
            <w:vMerge w:val="restart"/>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
                <w:bCs/>
              </w:rPr>
            </w:pPr>
            <w:bookmarkStart w:id="832" w:name="_Toc160536594"/>
            <w:r w:rsidRPr="00EF535A">
              <w:rPr>
                <w:b/>
                <w:bCs/>
              </w:rPr>
              <w:t>Właściwość</w:t>
            </w:r>
            <w:bookmarkEnd w:id="832"/>
          </w:p>
          <w:p w:rsidR="0034055A" w:rsidRPr="00EF535A" w:rsidRDefault="0034055A" w:rsidP="00196DDD">
            <w:pPr>
              <w:rPr>
                <w:b/>
                <w:bCs/>
              </w:rPr>
            </w:pPr>
            <w:bookmarkStart w:id="833" w:name="_Toc160536595"/>
            <w:r w:rsidRPr="00EF535A">
              <w:rPr>
                <w:b/>
                <w:bCs/>
              </w:rPr>
              <w:t>kruszywa</w:t>
            </w:r>
            <w:bookmarkEnd w:id="833"/>
          </w:p>
        </w:tc>
        <w:tc>
          <w:tcPr>
            <w:tcW w:w="992" w:type="dxa"/>
            <w:vMerge w:val="restart"/>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
                <w:bCs/>
              </w:rPr>
            </w:pPr>
            <w:bookmarkStart w:id="834" w:name="_Toc160536596"/>
            <w:r w:rsidRPr="00EF535A">
              <w:rPr>
                <w:b/>
                <w:bCs/>
              </w:rPr>
              <w:t>Metoda</w:t>
            </w:r>
            <w:bookmarkEnd w:id="834"/>
          </w:p>
          <w:p w:rsidR="0034055A" w:rsidRPr="00EF535A" w:rsidRDefault="0034055A" w:rsidP="00196DDD">
            <w:pPr>
              <w:rPr>
                <w:b/>
                <w:bCs/>
              </w:rPr>
            </w:pPr>
            <w:bookmarkStart w:id="835" w:name="_Toc160536597"/>
            <w:r w:rsidRPr="00EF535A">
              <w:rPr>
                <w:b/>
                <w:bCs/>
              </w:rPr>
              <w:t>badania</w:t>
            </w:r>
            <w:bookmarkEnd w:id="835"/>
          </w:p>
          <w:p w:rsidR="0034055A" w:rsidRPr="00EF535A" w:rsidRDefault="0034055A" w:rsidP="00196DDD">
            <w:pPr>
              <w:rPr>
                <w:b/>
                <w:bCs/>
              </w:rPr>
            </w:pPr>
            <w:bookmarkStart w:id="836" w:name="_Toc160536598"/>
            <w:r w:rsidRPr="00EF535A">
              <w:rPr>
                <w:b/>
                <w:bCs/>
              </w:rPr>
              <w:t>wg</w:t>
            </w:r>
            <w:bookmarkEnd w:id="836"/>
          </w:p>
        </w:tc>
        <w:tc>
          <w:tcPr>
            <w:tcW w:w="4820" w:type="dxa"/>
            <w:gridSpan w:val="2"/>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37" w:name="_Toc160536599"/>
            <w:r w:rsidRPr="00EF535A">
              <w:rPr>
                <w:b/>
                <w:bCs/>
              </w:rPr>
              <w:t>Wymagania wobec kruszywa do mieszanek niezwiązanych, przeznaczonych do zastosowania w warstwie podbudowy pomocniczej pod nawierzchnią drogi obciążonej ruchem  kategorii KR1 ÷ KR7</w:t>
            </w:r>
            <w:bookmarkEnd w:id="837"/>
          </w:p>
        </w:tc>
      </w:tr>
      <w:tr w:rsidR="0034055A" w:rsidRPr="007078D3" w:rsidTr="0034055A">
        <w:trPr>
          <w:trHeight w:val="476"/>
        </w:trPr>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bCs/>
              </w:rPr>
            </w:pP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EF535A" w:rsidRDefault="0034055A" w:rsidP="00196DDD">
            <w:pPr>
              <w:rPr>
                <w:bCs/>
              </w:rPr>
            </w:pPr>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rPr>
            </w:pPr>
            <w:bookmarkStart w:id="838" w:name="_Toc160536600"/>
            <w:r w:rsidRPr="00EF535A">
              <w:rPr>
                <w:bCs/>
              </w:rPr>
              <w:t>Punkt</w:t>
            </w:r>
            <w:bookmarkEnd w:id="838"/>
          </w:p>
          <w:p w:rsidR="0034055A" w:rsidRPr="00EF535A" w:rsidRDefault="0034055A" w:rsidP="00196DDD">
            <w:pPr>
              <w:rPr>
                <w:bCs/>
              </w:rPr>
            </w:pPr>
            <w:bookmarkStart w:id="839" w:name="_Toc160536601"/>
            <w:r w:rsidRPr="00EF535A">
              <w:rPr>
                <w:bCs/>
              </w:rPr>
              <w:t>PN-EN</w:t>
            </w:r>
            <w:bookmarkEnd w:id="839"/>
          </w:p>
          <w:p w:rsidR="0034055A" w:rsidRPr="00EF535A" w:rsidRDefault="0034055A" w:rsidP="00196DDD">
            <w:pPr>
              <w:rPr>
                <w:bCs/>
              </w:rPr>
            </w:pPr>
            <w:bookmarkStart w:id="840" w:name="_Toc160536602"/>
            <w:r w:rsidRPr="00EF535A">
              <w:rPr>
                <w:bCs/>
              </w:rPr>
              <w:t>13242</w:t>
            </w:r>
            <w:bookmarkEnd w:id="840"/>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rPr>
            </w:pPr>
            <w:bookmarkStart w:id="841" w:name="_Toc160536603"/>
            <w:r w:rsidRPr="00EF535A">
              <w:rPr>
                <w:bCs/>
              </w:rPr>
              <w:t>Wymagania</w:t>
            </w:r>
            <w:bookmarkEnd w:id="841"/>
          </w:p>
          <w:p w:rsidR="0034055A" w:rsidRPr="00EF535A" w:rsidRDefault="0034055A" w:rsidP="00196DDD">
            <w:pPr>
              <w:rPr>
                <w:bCs/>
              </w:rPr>
            </w:pPr>
            <w:r w:rsidRPr="00EF535A">
              <w:rPr>
                <w:bCs/>
              </w:rPr>
              <w:t> </w:t>
            </w:r>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42" w:name="_Toc160536604"/>
            <w:r w:rsidRPr="00EF535A">
              <w:rPr>
                <w:b/>
                <w:bCs/>
              </w:rPr>
              <w:t>Zestaw sit #</w:t>
            </w:r>
            <w:bookmarkEnd w:id="842"/>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43" w:name="_Toc160536605"/>
            <w:r w:rsidRPr="00EF535A">
              <w:rPr>
                <w:b/>
                <w:bCs/>
              </w:rPr>
              <w:t>-</w:t>
            </w:r>
            <w:bookmarkEnd w:id="843"/>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44" w:name="_Toc160536606"/>
            <w:r w:rsidRPr="00EF535A">
              <w:rPr>
                <w:b/>
                <w:bCs/>
              </w:rPr>
              <w:t>4.1-4.2</w:t>
            </w:r>
            <w:bookmarkEnd w:id="844"/>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45" w:name="_Toc160536607"/>
            <w:r w:rsidRPr="00EF535A">
              <w:rPr>
                <w:b/>
                <w:bCs/>
              </w:rPr>
              <w:t>0,063; 0,5; 1; 2; 4; 5,6; 8; 11,2; 16; 22,4; 31,5; 45; 63 i 90 mm (zestaw podstawowy plus zestaw 1)</w:t>
            </w:r>
            <w:bookmarkEnd w:id="845"/>
          </w:p>
          <w:p w:rsidR="0034055A" w:rsidRPr="00EF535A" w:rsidRDefault="0034055A" w:rsidP="00196DDD">
            <w:pPr>
              <w:rPr>
                <w:b/>
                <w:bCs/>
              </w:rPr>
            </w:pPr>
            <w:r w:rsidRPr="00EF535A">
              <w:rPr>
                <w:b/>
                <w:bCs/>
              </w:rPr>
              <w:t> </w:t>
            </w:r>
            <w:bookmarkStart w:id="846" w:name="_Toc160536608"/>
            <w:r w:rsidRPr="00EF535A">
              <w:rPr>
                <w:b/>
                <w:bCs/>
              </w:rPr>
              <w:t>Wszystkie frakcje dozwolone</w:t>
            </w:r>
            <w:bookmarkEnd w:id="846"/>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47" w:name="_Toc160536609"/>
            <w:r w:rsidRPr="00EF535A">
              <w:rPr>
                <w:b/>
                <w:bCs/>
              </w:rPr>
              <w:t>Uziarnienie</w:t>
            </w:r>
            <w:bookmarkEnd w:id="847"/>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48" w:name="_Toc160536610"/>
            <w:r w:rsidRPr="00EF535A">
              <w:rPr>
                <w:b/>
                <w:bCs/>
              </w:rPr>
              <w:t>PN-EN</w:t>
            </w:r>
            <w:bookmarkEnd w:id="848"/>
          </w:p>
          <w:p w:rsidR="0034055A" w:rsidRPr="00EF535A" w:rsidRDefault="0034055A" w:rsidP="00196DDD">
            <w:pPr>
              <w:rPr>
                <w:b/>
                <w:bCs/>
              </w:rPr>
            </w:pPr>
            <w:bookmarkStart w:id="849" w:name="_Toc160536611"/>
            <w:r w:rsidRPr="00EF535A">
              <w:rPr>
                <w:b/>
                <w:bCs/>
              </w:rPr>
              <w:t>933-1[8]</w:t>
            </w:r>
            <w:bookmarkEnd w:id="849"/>
          </w:p>
          <w:p w:rsidR="0034055A" w:rsidRPr="00EF535A" w:rsidRDefault="0034055A" w:rsidP="00196DDD">
            <w:pPr>
              <w:rPr>
                <w:b/>
                <w:bCs/>
              </w:rPr>
            </w:pPr>
            <w:r w:rsidRPr="00EF535A">
              <w:rPr>
                <w:b/>
                <w:bCs/>
              </w:rPr>
              <w:t> </w:t>
            </w:r>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50" w:name="_Toc160536612"/>
            <w:r w:rsidRPr="00EF535A">
              <w:rPr>
                <w:b/>
                <w:bCs/>
              </w:rPr>
              <w:t>4.3.1</w:t>
            </w:r>
            <w:bookmarkEnd w:id="850"/>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51" w:name="_Toc160536613"/>
            <w:r w:rsidRPr="00EF535A">
              <w:rPr>
                <w:b/>
                <w:bCs/>
              </w:rPr>
              <w:t>Kruszywo grube: kat. G</w:t>
            </w:r>
            <w:r w:rsidRPr="00EF535A">
              <w:rPr>
                <w:b/>
                <w:bCs/>
                <w:vertAlign w:val="subscript"/>
              </w:rPr>
              <w:t>C</w:t>
            </w:r>
            <w:r w:rsidRPr="00EF535A">
              <w:rPr>
                <w:b/>
                <w:bCs/>
              </w:rPr>
              <w:t>85/15,   kruszywo drobne: kat. G</w:t>
            </w:r>
            <w:r w:rsidRPr="00EF535A">
              <w:rPr>
                <w:b/>
                <w:bCs/>
                <w:vertAlign w:val="subscript"/>
              </w:rPr>
              <w:t>F</w:t>
            </w:r>
            <w:r w:rsidRPr="00EF535A">
              <w:rPr>
                <w:b/>
                <w:bCs/>
              </w:rPr>
              <w:t>85,   kruszywo o ciągłym uziarnieniu: kat. G</w:t>
            </w:r>
            <w:r w:rsidRPr="00EF535A">
              <w:rPr>
                <w:b/>
                <w:bCs/>
                <w:vertAlign w:val="subscript"/>
              </w:rPr>
              <w:t>A</w:t>
            </w:r>
            <w:r w:rsidRPr="00EF535A">
              <w:rPr>
                <w:b/>
                <w:bCs/>
              </w:rPr>
              <w:t>85.</w:t>
            </w:r>
            <w:bookmarkEnd w:id="851"/>
            <w:r w:rsidRPr="00EF535A">
              <w:rPr>
                <w:b/>
                <w:bCs/>
              </w:rPr>
              <w:t>  </w:t>
            </w:r>
          </w:p>
          <w:p w:rsidR="0034055A" w:rsidRPr="00EF535A" w:rsidRDefault="0034055A" w:rsidP="00196DDD">
            <w:pPr>
              <w:rPr>
                <w:b/>
                <w:bCs/>
              </w:rPr>
            </w:pPr>
            <w:bookmarkStart w:id="852" w:name="_Toc160536614"/>
            <w:r w:rsidRPr="00EF535A">
              <w:rPr>
                <w:b/>
                <w:bCs/>
              </w:rPr>
              <w:t>Uziarnienie mieszanek kruszywa wg rysunków 1÷3</w:t>
            </w:r>
            <w:bookmarkEnd w:id="852"/>
          </w:p>
        </w:tc>
      </w:tr>
      <w:tr w:rsidR="0034055A" w:rsidRPr="007078D3" w:rsidTr="0034055A">
        <w:trPr>
          <w:trHeight w:val="433"/>
        </w:trPr>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53" w:name="_Toc160536615"/>
            <w:r w:rsidRPr="00EF535A">
              <w:rPr>
                <w:b/>
                <w:bCs/>
              </w:rPr>
              <w:t>Ogólne granice i tolerancje uziarnienia kruszywa grubego na sitach pośrednich</w:t>
            </w:r>
            <w:bookmarkEnd w:id="853"/>
          </w:p>
          <w:p w:rsidR="0034055A" w:rsidRPr="00EF535A" w:rsidRDefault="0034055A" w:rsidP="00196DDD">
            <w:pPr>
              <w:rPr>
                <w:b/>
                <w:bCs/>
              </w:rPr>
            </w:pPr>
            <w:r w:rsidRPr="00EF535A">
              <w:rPr>
                <w:b/>
                <w:bCs/>
              </w:rPr>
              <w:t> </w:t>
            </w:r>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54" w:name="_Toc160536616"/>
            <w:r w:rsidRPr="00EF535A">
              <w:rPr>
                <w:b/>
                <w:bCs/>
              </w:rPr>
              <w:t>PN-EN</w:t>
            </w:r>
            <w:bookmarkEnd w:id="854"/>
          </w:p>
          <w:p w:rsidR="0034055A" w:rsidRPr="00EF535A" w:rsidRDefault="0034055A" w:rsidP="00196DDD">
            <w:pPr>
              <w:rPr>
                <w:b/>
                <w:bCs/>
              </w:rPr>
            </w:pPr>
            <w:bookmarkStart w:id="855" w:name="_Toc160536617"/>
            <w:r w:rsidRPr="00EF535A">
              <w:rPr>
                <w:b/>
                <w:bCs/>
              </w:rPr>
              <w:t>933-1 [8]</w:t>
            </w:r>
            <w:bookmarkEnd w:id="855"/>
          </w:p>
          <w:p w:rsidR="0034055A" w:rsidRPr="00EF535A" w:rsidRDefault="0034055A" w:rsidP="00196DDD">
            <w:pPr>
              <w:rPr>
                <w:b/>
                <w:bCs/>
              </w:rPr>
            </w:pPr>
            <w:r w:rsidRPr="00EF535A">
              <w:rPr>
                <w:b/>
                <w:bCs/>
              </w:rPr>
              <w:t> </w:t>
            </w:r>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56" w:name="_Toc160536618"/>
            <w:r w:rsidRPr="00EF535A">
              <w:rPr>
                <w:b/>
                <w:bCs/>
              </w:rPr>
              <w:t>4.3.2</w:t>
            </w:r>
            <w:bookmarkEnd w:id="856"/>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57" w:name="_Toc160536619"/>
            <w:r w:rsidRPr="00EF535A">
              <w:rPr>
                <w:b/>
                <w:bCs/>
              </w:rPr>
              <w:t>Kat. GT</w:t>
            </w:r>
            <w:r w:rsidRPr="00EF535A">
              <w:rPr>
                <w:b/>
                <w:bCs/>
                <w:vertAlign w:val="subscript"/>
              </w:rPr>
              <w:t>C</w:t>
            </w:r>
            <w:r w:rsidRPr="00EF535A">
              <w:rPr>
                <w:b/>
                <w:bCs/>
              </w:rPr>
              <w:t>NR (tj. brak wymagania)</w:t>
            </w:r>
            <w:bookmarkEnd w:id="857"/>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58" w:name="_Toc160536620"/>
            <w:r w:rsidRPr="00EF535A">
              <w:rPr>
                <w:b/>
                <w:bCs/>
              </w:rPr>
              <w:t xml:space="preserve">Tolerancje typowego uziarnienia kruszywa drobnego i kruszywa o </w:t>
            </w:r>
            <w:r w:rsidRPr="00EF535A">
              <w:rPr>
                <w:b/>
                <w:bCs/>
              </w:rPr>
              <w:lastRenderedPageBreak/>
              <w:t>ciągłym uziarnieniu</w:t>
            </w:r>
            <w:bookmarkEnd w:id="858"/>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59" w:name="_Toc160536621"/>
            <w:r w:rsidRPr="00EF535A">
              <w:rPr>
                <w:b/>
                <w:bCs/>
              </w:rPr>
              <w:lastRenderedPageBreak/>
              <w:t>PN-EN</w:t>
            </w:r>
            <w:bookmarkEnd w:id="859"/>
          </w:p>
          <w:p w:rsidR="0034055A" w:rsidRPr="00EF535A" w:rsidRDefault="0034055A" w:rsidP="00196DDD">
            <w:pPr>
              <w:rPr>
                <w:b/>
                <w:bCs/>
              </w:rPr>
            </w:pPr>
            <w:bookmarkStart w:id="860" w:name="_Toc160536622"/>
            <w:r w:rsidRPr="00EF535A">
              <w:rPr>
                <w:b/>
                <w:bCs/>
              </w:rPr>
              <w:t>933-1 [8]</w:t>
            </w:r>
            <w:bookmarkEnd w:id="860"/>
          </w:p>
          <w:p w:rsidR="0034055A" w:rsidRPr="00EF535A" w:rsidRDefault="0034055A" w:rsidP="00196DDD">
            <w:pPr>
              <w:rPr>
                <w:b/>
                <w:bCs/>
              </w:rPr>
            </w:pPr>
            <w:r w:rsidRPr="00EF535A">
              <w:rPr>
                <w:b/>
                <w:bCs/>
              </w:rPr>
              <w:lastRenderedPageBreak/>
              <w:t> </w:t>
            </w:r>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61" w:name="_Toc160536623"/>
            <w:r w:rsidRPr="00EF535A">
              <w:rPr>
                <w:b/>
                <w:bCs/>
              </w:rPr>
              <w:lastRenderedPageBreak/>
              <w:t>4.3.3</w:t>
            </w:r>
            <w:bookmarkEnd w:id="861"/>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62" w:name="_Toc160536624"/>
            <w:r w:rsidRPr="00EF535A">
              <w:rPr>
                <w:b/>
                <w:bCs/>
              </w:rPr>
              <w:t>Kruszywo drobne: kat. GT</w:t>
            </w:r>
            <w:r w:rsidRPr="00EF535A">
              <w:rPr>
                <w:b/>
                <w:bCs/>
                <w:vertAlign w:val="subscript"/>
              </w:rPr>
              <w:t>F</w:t>
            </w:r>
            <w:r w:rsidRPr="00EF535A">
              <w:rPr>
                <w:b/>
                <w:bCs/>
              </w:rPr>
              <w:t xml:space="preserve">NR (tj. brak wymagania), kruszywo o ciągłym uziarnieniu: </w:t>
            </w:r>
            <w:r w:rsidRPr="00EF535A">
              <w:rPr>
                <w:b/>
                <w:bCs/>
              </w:rPr>
              <w:lastRenderedPageBreak/>
              <w:t>kat. GT</w:t>
            </w:r>
            <w:r w:rsidRPr="00EF535A">
              <w:rPr>
                <w:b/>
                <w:bCs/>
                <w:vertAlign w:val="subscript"/>
              </w:rPr>
              <w:t>A</w:t>
            </w:r>
            <w:r w:rsidRPr="00EF535A">
              <w:rPr>
                <w:b/>
                <w:bCs/>
              </w:rPr>
              <w:t>NR (tj. brak wymagania)</w:t>
            </w:r>
            <w:bookmarkEnd w:id="862"/>
          </w:p>
        </w:tc>
      </w:tr>
      <w:tr w:rsidR="0034055A" w:rsidRPr="007078D3" w:rsidTr="0034055A">
        <w:trPr>
          <w:trHeight w:val="671"/>
        </w:trPr>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63" w:name="_Toc160536625"/>
            <w:r w:rsidRPr="00EF535A">
              <w:rPr>
                <w:b/>
                <w:bCs/>
              </w:rPr>
              <w:lastRenderedPageBreak/>
              <w:t>Kształt kruszywa grubego – maksymalne wartości wskaź</w:t>
            </w:r>
            <w:r w:rsidRPr="00EF535A">
              <w:rPr>
                <w:b/>
                <w:bCs/>
              </w:rPr>
              <w:softHyphen/>
              <w:t>nika płaskości</w:t>
            </w:r>
            <w:bookmarkEnd w:id="863"/>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64" w:name="_Toc160536626"/>
            <w:r w:rsidRPr="00EF535A">
              <w:rPr>
                <w:b/>
                <w:bCs/>
              </w:rPr>
              <w:t>PN-EN</w:t>
            </w:r>
            <w:bookmarkEnd w:id="864"/>
          </w:p>
          <w:p w:rsidR="0034055A" w:rsidRPr="00EF535A" w:rsidRDefault="0034055A" w:rsidP="00196DDD">
            <w:pPr>
              <w:rPr>
                <w:b/>
                <w:bCs/>
              </w:rPr>
            </w:pPr>
            <w:bookmarkStart w:id="865" w:name="_Toc160536627"/>
            <w:r w:rsidRPr="00EF535A">
              <w:rPr>
                <w:b/>
                <w:bCs/>
              </w:rPr>
              <w:t>933-3  [9]</w:t>
            </w:r>
            <w:bookmarkEnd w:id="865"/>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66" w:name="_Toc160536628"/>
            <w:r w:rsidRPr="00EF535A">
              <w:rPr>
                <w:b/>
                <w:bCs/>
              </w:rPr>
              <w:t>4.4</w:t>
            </w:r>
            <w:bookmarkEnd w:id="866"/>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67" w:name="_Toc160536629"/>
            <w:r w:rsidRPr="00EF535A">
              <w:rPr>
                <w:b/>
                <w:bCs/>
              </w:rPr>
              <w:t>Kat. FI</w:t>
            </w:r>
            <w:r w:rsidRPr="00EF535A">
              <w:rPr>
                <w:b/>
                <w:bCs/>
                <w:vertAlign w:val="subscript"/>
              </w:rPr>
              <w:t>NR </w:t>
            </w:r>
            <w:r w:rsidRPr="00EF535A">
              <w:rPr>
                <w:b/>
                <w:bCs/>
              </w:rPr>
              <w:t>(tj. brak wymaga</w:t>
            </w:r>
            <w:r w:rsidRPr="00EF535A">
              <w:rPr>
                <w:b/>
                <w:bCs/>
              </w:rPr>
              <w:softHyphen/>
              <w:t>nia)</w:t>
            </w:r>
            <w:bookmarkEnd w:id="867"/>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68" w:name="_Toc160536630"/>
            <w:r w:rsidRPr="00EF535A">
              <w:rPr>
                <w:b/>
                <w:bCs/>
              </w:rPr>
              <w:t>Kształt kruszywa grubego – maksymalne wartości wskaźnika kształtu</w:t>
            </w:r>
            <w:bookmarkEnd w:id="868"/>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69" w:name="_Toc160536631"/>
            <w:r w:rsidRPr="00EF535A">
              <w:rPr>
                <w:b/>
                <w:bCs/>
              </w:rPr>
              <w:t>PN-EN</w:t>
            </w:r>
            <w:bookmarkEnd w:id="869"/>
          </w:p>
          <w:p w:rsidR="0034055A" w:rsidRPr="00EF535A" w:rsidRDefault="0034055A" w:rsidP="00196DDD">
            <w:pPr>
              <w:rPr>
                <w:b/>
                <w:bCs/>
              </w:rPr>
            </w:pPr>
            <w:bookmarkStart w:id="870" w:name="_Toc160536632"/>
            <w:r w:rsidRPr="00EF535A">
              <w:rPr>
                <w:b/>
                <w:bCs/>
              </w:rPr>
              <w:t>933-4  [10]</w:t>
            </w:r>
            <w:bookmarkEnd w:id="870"/>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71" w:name="_Toc160536633"/>
            <w:r w:rsidRPr="00EF535A">
              <w:rPr>
                <w:b/>
                <w:bCs/>
              </w:rPr>
              <w:t>4.4</w:t>
            </w:r>
            <w:bookmarkEnd w:id="871"/>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72" w:name="_Toc160536634"/>
            <w:r w:rsidRPr="00EF535A">
              <w:rPr>
                <w:b/>
                <w:bCs/>
              </w:rPr>
              <w:t>Kat. SI</w:t>
            </w:r>
            <w:r w:rsidRPr="00EF535A">
              <w:rPr>
                <w:b/>
                <w:bCs/>
                <w:vertAlign w:val="subscript"/>
              </w:rPr>
              <w:t>NR </w:t>
            </w:r>
            <w:r w:rsidRPr="00EF535A">
              <w:rPr>
                <w:b/>
                <w:bCs/>
              </w:rPr>
              <w:t>(tj. brak wymaga</w:t>
            </w:r>
            <w:r w:rsidRPr="00EF535A">
              <w:rPr>
                <w:b/>
                <w:bCs/>
              </w:rPr>
              <w:softHyphen/>
              <w:t>nia)</w:t>
            </w:r>
            <w:bookmarkEnd w:id="872"/>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73" w:name="_Toc160536635"/>
            <w:r w:rsidRPr="00EF535A">
              <w:rPr>
                <w:b/>
                <w:bCs/>
              </w:rPr>
              <w:t>Kategorie procentowych zawartości ziaren o powierzchni przekruszonej lub łamanych oraz ziaren całkowicie za</w:t>
            </w:r>
            <w:r w:rsidRPr="00EF535A">
              <w:rPr>
                <w:b/>
                <w:bCs/>
              </w:rPr>
              <w:softHyphen/>
              <w:t>okrąglonych w kruszywie grubym</w:t>
            </w:r>
            <w:bookmarkEnd w:id="873"/>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74" w:name="_Toc160536636"/>
            <w:r w:rsidRPr="00EF535A">
              <w:rPr>
                <w:b/>
                <w:bCs/>
              </w:rPr>
              <w:t>PN-EN</w:t>
            </w:r>
            <w:bookmarkEnd w:id="874"/>
          </w:p>
          <w:p w:rsidR="0034055A" w:rsidRPr="00EF535A" w:rsidRDefault="0034055A" w:rsidP="00196DDD">
            <w:pPr>
              <w:rPr>
                <w:b/>
                <w:bCs/>
              </w:rPr>
            </w:pPr>
            <w:bookmarkStart w:id="875" w:name="_Toc160536637"/>
            <w:r w:rsidRPr="00EF535A">
              <w:rPr>
                <w:b/>
                <w:bCs/>
              </w:rPr>
              <w:t>933-5 [11]</w:t>
            </w:r>
            <w:bookmarkEnd w:id="875"/>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76" w:name="_Toc160536638"/>
            <w:r w:rsidRPr="00EF535A">
              <w:rPr>
                <w:b/>
                <w:bCs/>
              </w:rPr>
              <w:t>4.5</w:t>
            </w:r>
            <w:bookmarkEnd w:id="876"/>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77" w:name="_Toc160536639"/>
            <w:r w:rsidRPr="00EF535A">
              <w:rPr>
                <w:b/>
                <w:bCs/>
              </w:rPr>
              <w:t>Kat. C</w:t>
            </w:r>
            <w:r w:rsidRPr="00EF535A">
              <w:rPr>
                <w:b/>
                <w:bCs/>
                <w:vertAlign w:val="subscript"/>
              </w:rPr>
              <w:t>NR</w:t>
            </w:r>
            <w:r w:rsidRPr="00EF535A">
              <w:rPr>
                <w:b/>
                <w:bCs/>
              </w:rPr>
              <w:t> (tj. brak wymagania)</w:t>
            </w:r>
            <w:bookmarkEnd w:id="877"/>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78" w:name="_Toc160536640"/>
            <w:r w:rsidRPr="00EF535A">
              <w:rPr>
                <w:b/>
                <w:bCs/>
              </w:rPr>
              <w:t>Zawartość pyłów w kruszywie grubym</w:t>
            </w:r>
            <w:r w:rsidRPr="00EF535A">
              <w:rPr>
                <w:b/>
                <w:bCs/>
                <w:vertAlign w:val="superscript"/>
              </w:rPr>
              <w:t>*)</w:t>
            </w:r>
            <w:bookmarkEnd w:id="878"/>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79" w:name="_Toc160536641"/>
            <w:r w:rsidRPr="00EF535A">
              <w:rPr>
                <w:b/>
                <w:bCs/>
              </w:rPr>
              <w:t>PN-EN</w:t>
            </w:r>
            <w:bookmarkEnd w:id="879"/>
          </w:p>
          <w:p w:rsidR="0034055A" w:rsidRPr="00EF535A" w:rsidRDefault="0034055A" w:rsidP="00196DDD">
            <w:pPr>
              <w:rPr>
                <w:b/>
                <w:bCs/>
              </w:rPr>
            </w:pPr>
            <w:bookmarkStart w:id="880" w:name="_Toc160536642"/>
            <w:r w:rsidRPr="00EF535A">
              <w:rPr>
                <w:b/>
                <w:bCs/>
              </w:rPr>
              <w:t>933-1 [8]</w:t>
            </w:r>
            <w:bookmarkEnd w:id="880"/>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81" w:name="_Toc160536643"/>
            <w:r w:rsidRPr="00EF535A">
              <w:rPr>
                <w:b/>
                <w:bCs/>
              </w:rPr>
              <w:t>4.6</w:t>
            </w:r>
            <w:bookmarkEnd w:id="881"/>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82" w:name="_Toc160536644"/>
            <w:r w:rsidRPr="00EF535A">
              <w:rPr>
                <w:b/>
                <w:bCs/>
              </w:rPr>
              <w:t>Kat. f</w:t>
            </w:r>
            <w:r w:rsidRPr="00EF535A">
              <w:rPr>
                <w:b/>
                <w:bCs/>
                <w:vertAlign w:val="subscript"/>
              </w:rPr>
              <w:t>Dekl</w:t>
            </w:r>
            <w:r w:rsidRPr="00EF535A">
              <w:rPr>
                <w:b/>
                <w:bCs/>
              </w:rPr>
              <w:t>  (tj. masa frakcji przechodzącej przez sito 0,063 mm jest &gt; 4)</w:t>
            </w:r>
            <w:bookmarkEnd w:id="882"/>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83" w:name="_Toc160536645"/>
            <w:r w:rsidRPr="00EF535A">
              <w:rPr>
                <w:b/>
                <w:bCs/>
              </w:rPr>
              <w:t>Zawartość pyłów</w:t>
            </w:r>
            <w:r w:rsidRPr="00EF535A">
              <w:rPr>
                <w:b/>
                <w:bCs/>
                <w:vertAlign w:val="superscript"/>
              </w:rPr>
              <w:t>  </w:t>
            </w:r>
            <w:r w:rsidRPr="00EF535A">
              <w:rPr>
                <w:b/>
                <w:bCs/>
              </w:rPr>
              <w:t> w  kruszywie drob</w:t>
            </w:r>
            <w:r w:rsidRPr="00EF535A">
              <w:rPr>
                <w:b/>
                <w:bCs/>
              </w:rPr>
              <w:softHyphen/>
              <w:t>nym</w:t>
            </w:r>
            <w:r w:rsidRPr="00EF535A">
              <w:rPr>
                <w:b/>
                <w:bCs/>
                <w:vertAlign w:val="superscript"/>
              </w:rPr>
              <w:t>*)</w:t>
            </w:r>
            <w:bookmarkEnd w:id="883"/>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84" w:name="_Toc160536646"/>
            <w:r w:rsidRPr="00EF535A">
              <w:rPr>
                <w:b/>
                <w:bCs/>
              </w:rPr>
              <w:t>PN-EN</w:t>
            </w:r>
            <w:bookmarkEnd w:id="884"/>
            <w:r w:rsidRPr="00EF535A">
              <w:rPr>
                <w:b/>
                <w:bCs/>
              </w:rPr>
              <w:t>  </w:t>
            </w:r>
          </w:p>
          <w:p w:rsidR="0034055A" w:rsidRPr="00EF535A" w:rsidRDefault="0034055A" w:rsidP="00196DDD">
            <w:pPr>
              <w:rPr>
                <w:b/>
                <w:bCs/>
              </w:rPr>
            </w:pPr>
            <w:bookmarkStart w:id="885" w:name="_Toc160536647"/>
            <w:r w:rsidRPr="00EF535A">
              <w:rPr>
                <w:b/>
                <w:bCs/>
              </w:rPr>
              <w:t>933-1 [8]</w:t>
            </w:r>
            <w:bookmarkEnd w:id="885"/>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86" w:name="_Toc160536648"/>
            <w:r w:rsidRPr="00EF535A">
              <w:rPr>
                <w:b/>
                <w:bCs/>
              </w:rPr>
              <w:t>4.6</w:t>
            </w:r>
            <w:bookmarkEnd w:id="886"/>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87" w:name="_Toc160536649"/>
            <w:r w:rsidRPr="00EF535A">
              <w:rPr>
                <w:b/>
                <w:bCs/>
              </w:rPr>
              <w:t>Kat. f</w:t>
            </w:r>
            <w:r w:rsidRPr="00EF535A">
              <w:rPr>
                <w:b/>
                <w:bCs/>
                <w:vertAlign w:val="subscript"/>
              </w:rPr>
              <w:t>Dekl</w:t>
            </w:r>
            <w:r w:rsidRPr="00EF535A">
              <w:rPr>
                <w:b/>
                <w:bCs/>
              </w:rPr>
              <w:t>  (tj. masa frakcji przechodzącej przez sito 0,063 mm jest &gt; 22)</w:t>
            </w:r>
            <w:bookmarkEnd w:id="887"/>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88" w:name="_Toc160536650"/>
            <w:r w:rsidRPr="00EF535A">
              <w:rPr>
                <w:b/>
                <w:bCs/>
              </w:rPr>
              <w:t>Jakość pyłów</w:t>
            </w:r>
            <w:bookmarkEnd w:id="888"/>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89" w:name="_Toc160536651"/>
            <w:r w:rsidRPr="00EF535A">
              <w:rPr>
                <w:b/>
                <w:bCs/>
              </w:rPr>
              <w:t>-</w:t>
            </w:r>
            <w:bookmarkEnd w:id="889"/>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90" w:name="_Toc160536652"/>
            <w:r w:rsidRPr="00EF535A">
              <w:rPr>
                <w:b/>
                <w:bCs/>
              </w:rPr>
              <w:t>4.7</w:t>
            </w:r>
            <w:bookmarkEnd w:id="890"/>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91" w:name="_Toc160536653"/>
            <w:r w:rsidRPr="00EF535A">
              <w:rPr>
                <w:b/>
                <w:bCs/>
              </w:rPr>
              <w:t>Właściwość niebadana na pojedynczych frakcjach, a tylko w mieszankach wg wymagań dla mieszanek</w:t>
            </w:r>
            <w:bookmarkEnd w:id="891"/>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92" w:name="_Toc160536654"/>
            <w:r w:rsidRPr="00EF535A">
              <w:rPr>
                <w:b/>
                <w:bCs/>
              </w:rPr>
              <w:t>Odporność na rozdrabnianie kruszywa grubego</w:t>
            </w:r>
            <w:bookmarkEnd w:id="892"/>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93" w:name="_Toc160536655"/>
            <w:r w:rsidRPr="00EF535A">
              <w:rPr>
                <w:b/>
                <w:bCs/>
              </w:rPr>
              <w:t>PN-EN</w:t>
            </w:r>
            <w:bookmarkEnd w:id="893"/>
          </w:p>
          <w:p w:rsidR="0034055A" w:rsidRPr="00EF535A" w:rsidRDefault="0034055A" w:rsidP="00196DDD">
            <w:pPr>
              <w:rPr>
                <w:b/>
                <w:bCs/>
              </w:rPr>
            </w:pPr>
            <w:bookmarkStart w:id="894" w:name="_Toc160536656"/>
            <w:r w:rsidRPr="00EF535A">
              <w:rPr>
                <w:b/>
                <w:bCs/>
              </w:rPr>
              <w:t>1097-2 [13]</w:t>
            </w:r>
            <w:bookmarkEnd w:id="894"/>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95" w:name="_Toc160536657"/>
            <w:r w:rsidRPr="00EF535A">
              <w:rPr>
                <w:b/>
                <w:bCs/>
              </w:rPr>
              <w:t>5.2</w:t>
            </w:r>
            <w:bookmarkEnd w:id="895"/>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96" w:name="_Toc160536658"/>
            <w:r w:rsidRPr="00EF535A">
              <w:rPr>
                <w:b/>
                <w:bCs/>
              </w:rPr>
              <w:t>Kat. LA</w:t>
            </w:r>
            <w:r w:rsidRPr="00EF535A">
              <w:rPr>
                <w:b/>
                <w:bCs/>
                <w:vertAlign w:val="subscript"/>
              </w:rPr>
              <w:t>50</w:t>
            </w:r>
            <w:r w:rsidRPr="00EF535A">
              <w:rPr>
                <w:b/>
                <w:bCs/>
              </w:rPr>
              <w:t> (tj. maksymalna wartość współczynnika Los Angeles ≤ 50)</w:t>
            </w:r>
            <w:bookmarkEnd w:id="896"/>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97" w:name="_Toc160536659"/>
            <w:r w:rsidRPr="00EF535A">
              <w:rPr>
                <w:b/>
                <w:bCs/>
              </w:rPr>
              <w:t>Odporność na ścieranie kruszywa grubego</w:t>
            </w:r>
            <w:bookmarkEnd w:id="897"/>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898" w:name="_Toc160536660"/>
            <w:r w:rsidRPr="00EF535A">
              <w:rPr>
                <w:b/>
                <w:bCs/>
              </w:rPr>
              <w:t>PN-EN</w:t>
            </w:r>
            <w:bookmarkEnd w:id="898"/>
            <w:r w:rsidRPr="00EF535A">
              <w:rPr>
                <w:b/>
                <w:bCs/>
              </w:rPr>
              <w:t> </w:t>
            </w:r>
          </w:p>
          <w:p w:rsidR="0034055A" w:rsidRPr="00EF535A" w:rsidRDefault="0034055A" w:rsidP="00196DDD">
            <w:pPr>
              <w:rPr>
                <w:b/>
                <w:bCs/>
              </w:rPr>
            </w:pPr>
            <w:bookmarkStart w:id="899" w:name="_Toc160536661"/>
            <w:r w:rsidRPr="00EF535A">
              <w:rPr>
                <w:b/>
                <w:bCs/>
              </w:rPr>
              <w:t>1097-1 [12]</w:t>
            </w:r>
            <w:bookmarkEnd w:id="899"/>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00" w:name="_Toc160536662"/>
            <w:r w:rsidRPr="00EF535A">
              <w:rPr>
                <w:b/>
                <w:bCs/>
              </w:rPr>
              <w:t>5.3</w:t>
            </w:r>
            <w:bookmarkEnd w:id="900"/>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01" w:name="_Toc160536663"/>
            <w:r w:rsidRPr="00EF535A">
              <w:rPr>
                <w:b/>
                <w:bCs/>
              </w:rPr>
              <w:t>Kat. M</w:t>
            </w:r>
            <w:r w:rsidRPr="00EF535A">
              <w:rPr>
                <w:b/>
                <w:bCs/>
                <w:vertAlign w:val="subscript"/>
              </w:rPr>
              <w:t>DE</w:t>
            </w:r>
            <w:r w:rsidRPr="00EF535A">
              <w:rPr>
                <w:b/>
                <w:bCs/>
              </w:rPr>
              <w:t>Deklarowana (tj. współczynnik mikro-Devala &gt;50))</w:t>
            </w:r>
            <w:bookmarkEnd w:id="901"/>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02" w:name="_Toc160536664"/>
            <w:r w:rsidRPr="00EF535A">
              <w:rPr>
                <w:b/>
                <w:bCs/>
              </w:rPr>
              <w:t>Gęstość ziaren</w:t>
            </w:r>
            <w:bookmarkEnd w:id="902"/>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03" w:name="_Toc160536665"/>
            <w:r w:rsidRPr="00EF535A">
              <w:rPr>
                <w:b/>
                <w:bCs/>
              </w:rPr>
              <w:t>PN-EN 1097-6, roz. 7, 8 i 9  [14]</w:t>
            </w:r>
            <w:bookmarkEnd w:id="903"/>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04" w:name="_Toc160536666"/>
            <w:r w:rsidRPr="00EF535A">
              <w:rPr>
                <w:b/>
                <w:bCs/>
              </w:rPr>
              <w:t>5.4</w:t>
            </w:r>
            <w:bookmarkEnd w:id="904"/>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05" w:name="_Toc160536667"/>
            <w:r w:rsidRPr="00EF535A">
              <w:rPr>
                <w:b/>
                <w:bCs/>
              </w:rPr>
              <w:t>Deklarowana</w:t>
            </w:r>
            <w:bookmarkEnd w:id="905"/>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06" w:name="_Toc160536668"/>
            <w:r w:rsidRPr="00EF535A">
              <w:rPr>
                <w:b/>
                <w:bCs/>
              </w:rPr>
              <w:t>Nasiąkliwość</w:t>
            </w:r>
            <w:bookmarkEnd w:id="906"/>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07" w:name="_Toc160536669"/>
            <w:r w:rsidRPr="00EF535A">
              <w:rPr>
                <w:b/>
                <w:bCs/>
              </w:rPr>
              <w:t>PN-EN 1097-6, roz. 7, 8 i 9 [14]</w:t>
            </w:r>
            <w:bookmarkEnd w:id="907"/>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08" w:name="_Toc160536670"/>
            <w:r w:rsidRPr="00EF535A">
              <w:rPr>
                <w:b/>
                <w:bCs/>
              </w:rPr>
              <w:t>5.5 i</w:t>
            </w:r>
            <w:bookmarkEnd w:id="908"/>
          </w:p>
          <w:p w:rsidR="0034055A" w:rsidRPr="00EF535A" w:rsidRDefault="0034055A" w:rsidP="00196DDD">
            <w:pPr>
              <w:rPr>
                <w:b/>
                <w:bCs/>
              </w:rPr>
            </w:pPr>
            <w:bookmarkStart w:id="909" w:name="_Toc160536671"/>
            <w:r w:rsidRPr="00EF535A">
              <w:rPr>
                <w:b/>
                <w:bCs/>
              </w:rPr>
              <w:t>7.3.2</w:t>
            </w:r>
            <w:bookmarkEnd w:id="909"/>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10" w:name="_Toc160536672"/>
            <w:r w:rsidRPr="00EF535A">
              <w:rPr>
                <w:b/>
                <w:bCs/>
              </w:rPr>
              <w:t>Kat. W</w:t>
            </w:r>
            <w:r w:rsidRPr="00EF535A">
              <w:rPr>
                <w:b/>
                <w:bCs/>
                <w:vertAlign w:val="subscript"/>
              </w:rPr>
              <w:t>cm</w:t>
            </w:r>
            <w:r w:rsidRPr="00EF535A">
              <w:rPr>
                <w:b/>
                <w:bCs/>
              </w:rPr>
              <w:t>NR (tj. brak wymagania)</w:t>
            </w:r>
            <w:bookmarkEnd w:id="910"/>
          </w:p>
          <w:p w:rsidR="0034055A" w:rsidRPr="00EF535A" w:rsidRDefault="0034055A" w:rsidP="00196DDD">
            <w:pPr>
              <w:rPr>
                <w:b/>
                <w:bCs/>
              </w:rPr>
            </w:pPr>
            <w:bookmarkStart w:id="911" w:name="_Toc160536673"/>
            <w:r w:rsidRPr="00EF535A">
              <w:rPr>
                <w:b/>
                <w:bCs/>
              </w:rPr>
              <w:t>kat. WA</w:t>
            </w:r>
            <w:r w:rsidRPr="00EF535A">
              <w:rPr>
                <w:b/>
                <w:bCs/>
                <w:vertAlign w:val="subscript"/>
              </w:rPr>
              <w:t>24</w:t>
            </w:r>
            <w:r w:rsidRPr="00EF535A">
              <w:rPr>
                <w:b/>
                <w:bCs/>
              </w:rPr>
              <w:t>2</w:t>
            </w:r>
            <w:r w:rsidRPr="00EF535A">
              <w:rPr>
                <w:b/>
                <w:bCs/>
                <w:vertAlign w:val="superscript"/>
              </w:rPr>
              <w:t>**) </w:t>
            </w:r>
            <w:r w:rsidRPr="00EF535A">
              <w:rPr>
                <w:b/>
                <w:bCs/>
              </w:rPr>
              <w:t> (tj. maksymalna wartość nasiąkliwości </w:t>
            </w:r>
            <w:r w:rsidRPr="00EF535A">
              <w:rPr>
                <w:b/>
                <w:bCs/>
              </w:rPr>
              <w:br/>
              <w:t>≤ 2% masy)</w:t>
            </w:r>
            <w:bookmarkEnd w:id="911"/>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12" w:name="_Toc160536674"/>
            <w:r w:rsidRPr="00EF535A">
              <w:rPr>
                <w:b/>
                <w:bCs/>
              </w:rPr>
              <w:t>Siarczany rozpuszczalne w kwasie</w:t>
            </w:r>
            <w:bookmarkEnd w:id="912"/>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13" w:name="_Toc160536675"/>
            <w:r w:rsidRPr="00EF535A">
              <w:rPr>
                <w:b/>
                <w:bCs/>
              </w:rPr>
              <w:t>PN-EN</w:t>
            </w:r>
            <w:bookmarkEnd w:id="913"/>
          </w:p>
          <w:p w:rsidR="0034055A" w:rsidRPr="00EF535A" w:rsidRDefault="0034055A" w:rsidP="00196DDD">
            <w:pPr>
              <w:rPr>
                <w:b/>
                <w:bCs/>
              </w:rPr>
            </w:pPr>
            <w:bookmarkStart w:id="914" w:name="_Toc160536676"/>
            <w:r w:rsidRPr="00EF535A">
              <w:rPr>
                <w:b/>
                <w:bCs/>
              </w:rPr>
              <w:t>1744-1 [17]</w:t>
            </w:r>
            <w:bookmarkEnd w:id="914"/>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15" w:name="_Toc160536677"/>
            <w:r w:rsidRPr="00EF535A">
              <w:rPr>
                <w:b/>
                <w:bCs/>
              </w:rPr>
              <w:t>6.2</w:t>
            </w:r>
            <w:bookmarkEnd w:id="915"/>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16" w:name="_Toc160536678"/>
            <w:r w:rsidRPr="00EF535A">
              <w:rPr>
                <w:b/>
                <w:bCs/>
              </w:rPr>
              <w:t>Kat. AS</w:t>
            </w:r>
            <w:r w:rsidRPr="00EF535A">
              <w:rPr>
                <w:b/>
                <w:bCs/>
                <w:vertAlign w:val="subscript"/>
              </w:rPr>
              <w:t>NR   </w:t>
            </w:r>
            <w:r w:rsidRPr="00EF535A">
              <w:rPr>
                <w:b/>
                <w:bCs/>
              </w:rPr>
              <w:t>(tj. brak wymagania)</w:t>
            </w:r>
            <w:bookmarkEnd w:id="916"/>
          </w:p>
          <w:p w:rsidR="0034055A" w:rsidRPr="00EF535A" w:rsidRDefault="0034055A" w:rsidP="00196DDD">
            <w:pPr>
              <w:rPr>
                <w:b/>
                <w:bCs/>
              </w:rPr>
            </w:pPr>
            <w:r w:rsidRPr="00EF535A">
              <w:rPr>
                <w:b/>
                <w:bCs/>
              </w:rPr>
              <w:t> </w:t>
            </w:r>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17" w:name="_Toc160536679"/>
            <w:r w:rsidRPr="00EF535A">
              <w:rPr>
                <w:b/>
                <w:bCs/>
              </w:rPr>
              <w:t>Całkowita zawartość siarki</w:t>
            </w:r>
            <w:bookmarkEnd w:id="917"/>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18" w:name="_Toc160536680"/>
            <w:r w:rsidRPr="00EF535A">
              <w:rPr>
                <w:b/>
                <w:bCs/>
              </w:rPr>
              <w:t>PN-EN</w:t>
            </w:r>
            <w:bookmarkEnd w:id="918"/>
          </w:p>
          <w:p w:rsidR="0034055A" w:rsidRPr="00EF535A" w:rsidRDefault="0034055A" w:rsidP="00196DDD">
            <w:pPr>
              <w:rPr>
                <w:b/>
                <w:bCs/>
              </w:rPr>
            </w:pPr>
            <w:bookmarkStart w:id="919" w:name="_Toc160536681"/>
            <w:r w:rsidRPr="00EF535A">
              <w:rPr>
                <w:b/>
                <w:bCs/>
              </w:rPr>
              <w:t>1744-1 [17]</w:t>
            </w:r>
            <w:bookmarkEnd w:id="919"/>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0" w:name="_Toc160536682"/>
            <w:r w:rsidRPr="00EF535A">
              <w:rPr>
                <w:b/>
                <w:bCs/>
              </w:rPr>
              <w:t>6.3</w:t>
            </w:r>
            <w:bookmarkEnd w:id="920"/>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1" w:name="_Toc160536683"/>
            <w:r w:rsidRPr="00EF535A">
              <w:rPr>
                <w:b/>
                <w:bCs/>
              </w:rPr>
              <w:t>Kat. S</w:t>
            </w:r>
            <w:r w:rsidRPr="00EF535A">
              <w:rPr>
                <w:b/>
                <w:bCs/>
                <w:vertAlign w:val="subscript"/>
              </w:rPr>
              <w:t>NR</w:t>
            </w:r>
            <w:r w:rsidRPr="00EF535A">
              <w:rPr>
                <w:b/>
                <w:bCs/>
              </w:rPr>
              <w:t> (tj. brak wymagania)</w:t>
            </w:r>
            <w:bookmarkEnd w:id="921"/>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2" w:name="_Toc160536684"/>
            <w:r w:rsidRPr="00EF535A">
              <w:rPr>
                <w:b/>
                <w:bCs/>
              </w:rPr>
              <w:t>Stałość objętości żużla stalowniczego</w:t>
            </w:r>
            <w:bookmarkEnd w:id="922"/>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3" w:name="_Toc160536685"/>
            <w:r w:rsidRPr="00EF535A">
              <w:rPr>
                <w:b/>
                <w:bCs/>
              </w:rPr>
              <w:t>PN-EN 1744-1, roz. 19.3 [17]</w:t>
            </w:r>
            <w:bookmarkEnd w:id="923"/>
            <w:r w:rsidRPr="00EF535A">
              <w:rPr>
                <w:b/>
                <w:bCs/>
              </w:rPr>
              <w:t> </w:t>
            </w:r>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4" w:name="_Toc160536686"/>
            <w:r w:rsidRPr="00EF535A">
              <w:rPr>
                <w:b/>
                <w:bCs/>
              </w:rPr>
              <w:t>6.4.2.1</w:t>
            </w:r>
            <w:bookmarkEnd w:id="924"/>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5" w:name="_Toc160536687"/>
            <w:r w:rsidRPr="00EF535A">
              <w:rPr>
                <w:b/>
                <w:bCs/>
              </w:rPr>
              <w:t>Kat. V</w:t>
            </w:r>
            <w:r w:rsidRPr="00EF535A">
              <w:rPr>
                <w:b/>
                <w:bCs/>
                <w:vertAlign w:val="subscript"/>
              </w:rPr>
              <w:t>5</w:t>
            </w:r>
            <w:r w:rsidRPr="00EF535A">
              <w:rPr>
                <w:b/>
                <w:bCs/>
              </w:rPr>
              <w:t> (tj. pęcznienie ≤ 5 % objętości). Dotyczy żużla z klasycznego pieca tlenowego i elektrycznego pieca łukowego</w:t>
            </w:r>
            <w:bookmarkEnd w:id="925"/>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6" w:name="_Toc160536688"/>
            <w:r w:rsidRPr="00EF535A">
              <w:rPr>
                <w:b/>
                <w:bCs/>
              </w:rPr>
              <w:t>Rozpad krzemianowy w żużlu wielko- piecowym kawałkowym</w:t>
            </w:r>
            <w:bookmarkEnd w:id="926"/>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7" w:name="_Toc160536689"/>
            <w:r w:rsidRPr="00EF535A">
              <w:rPr>
                <w:b/>
                <w:bCs/>
              </w:rPr>
              <w:t>PN-EN 1744-1, p. 19.1 [17]</w:t>
            </w:r>
            <w:bookmarkEnd w:id="927"/>
            <w:r w:rsidRPr="00EF535A">
              <w:rPr>
                <w:b/>
                <w:bCs/>
              </w:rPr>
              <w:t> </w:t>
            </w:r>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8" w:name="_Toc160536690"/>
            <w:r w:rsidRPr="00EF535A">
              <w:rPr>
                <w:b/>
                <w:bCs/>
              </w:rPr>
              <w:t>6.4.2.2</w:t>
            </w:r>
            <w:bookmarkEnd w:id="928"/>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29" w:name="_Toc160536691"/>
            <w:r w:rsidRPr="00EF535A">
              <w:rPr>
                <w:b/>
                <w:bCs/>
              </w:rPr>
              <w:t>Brak rozpadu</w:t>
            </w:r>
            <w:bookmarkEnd w:id="929"/>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0" w:name="_Toc160536692"/>
            <w:r w:rsidRPr="00EF535A">
              <w:rPr>
                <w:b/>
                <w:bCs/>
              </w:rPr>
              <w:t>Rozpad żelazawy w żużlu wielkopiecowym kawałkowym</w:t>
            </w:r>
            <w:bookmarkEnd w:id="930"/>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1" w:name="_Toc160536693"/>
            <w:r w:rsidRPr="00EF535A">
              <w:rPr>
                <w:b/>
                <w:bCs/>
              </w:rPr>
              <w:t>PN-EN 1744-1, p.19.2 [17]</w:t>
            </w:r>
            <w:bookmarkEnd w:id="931"/>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2" w:name="_Toc160536694"/>
            <w:r w:rsidRPr="00EF535A">
              <w:rPr>
                <w:b/>
                <w:bCs/>
              </w:rPr>
              <w:t>6.4.2.3</w:t>
            </w:r>
            <w:bookmarkEnd w:id="932"/>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3" w:name="_Toc160536695"/>
            <w:r w:rsidRPr="00EF535A">
              <w:rPr>
                <w:b/>
                <w:bCs/>
              </w:rPr>
              <w:t>Brak rozpadu</w:t>
            </w:r>
            <w:bookmarkEnd w:id="933"/>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4" w:name="_Toc160536696"/>
            <w:r w:rsidRPr="00EF535A">
              <w:rPr>
                <w:b/>
                <w:bCs/>
              </w:rPr>
              <w:t>Składniki rozpuszczalne w wodzie</w:t>
            </w:r>
            <w:bookmarkEnd w:id="934"/>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5" w:name="_Toc160536697"/>
            <w:r w:rsidRPr="00EF535A">
              <w:rPr>
                <w:b/>
                <w:bCs/>
              </w:rPr>
              <w:t>PN-EN 1744-3 [18]</w:t>
            </w:r>
            <w:bookmarkEnd w:id="935"/>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6" w:name="_Toc160536698"/>
            <w:r w:rsidRPr="00EF535A">
              <w:rPr>
                <w:b/>
                <w:bCs/>
              </w:rPr>
              <w:t>6.4.3</w:t>
            </w:r>
            <w:bookmarkEnd w:id="936"/>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7" w:name="_Toc160536699"/>
            <w:r w:rsidRPr="00EF535A">
              <w:rPr>
                <w:b/>
                <w:bCs/>
              </w:rPr>
              <w:t>Brak substancji szkodliwych w stosunku do środowiska wg odrębnych przepisów</w:t>
            </w:r>
            <w:bookmarkEnd w:id="937"/>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8" w:name="_Toc160536700"/>
            <w:r w:rsidRPr="00EF535A">
              <w:rPr>
                <w:b/>
                <w:bCs/>
              </w:rPr>
              <w:t>Zanieczyszczenia</w:t>
            </w:r>
            <w:bookmarkEnd w:id="938"/>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39" w:name="_Toc160536701"/>
            <w:r w:rsidRPr="00EF535A">
              <w:rPr>
                <w:b/>
                <w:bCs/>
              </w:rPr>
              <w:t>-</w:t>
            </w:r>
            <w:bookmarkEnd w:id="939"/>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0" w:name="_Toc160536702"/>
            <w:r w:rsidRPr="00EF535A">
              <w:rPr>
                <w:b/>
                <w:bCs/>
              </w:rPr>
              <w:t>6.4.4</w:t>
            </w:r>
            <w:bookmarkEnd w:id="940"/>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1" w:name="_Toc160536703"/>
            <w:r w:rsidRPr="00EF535A">
              <w:rPr>
                <w:b/>
                <w:bCs/>
              </w:rPr>
              <w:t>Brak ciał obcych takich jak drewno, szkło i plastik, mogących pogorszyć wyrób końcowy</w:t>
            </w:r>
            <w:bookmarkEnd w:id="941"/>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2" w:name="_Toc160536704"/>
            <w:r w:rsidRPr="00EF535A">
              <w:rPr>
                <w:b/>
                <w:bCs/>
              </w:rPr>
              <w:t>Zgorzel słoneczna bazaltu</w:t>
            </w:r>
            <w:bookmarkEnd w:id="942"/>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3" w:name="_Toc160536705"/>
            <w:r w:rsidRPr="00EF535A">
              <w:rPr>
                <w:b/>
                <w:bCs/>
              </w:rPr>
              <w:t>PN-EN 1367-3[16]  i PN-EN 1097-2 [13]</w:t>
            </w:r>
            <w:bookmarkEnd w:id="943"/>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4" w:name="_Toc160536706"/>
            <w:r w:rsidRPr="00EF535A">
              <w:rPr>
                <w:b/>
                <w:bCs/>
              </w:rPr>
              <w:t>7.2</w:t>
            </w:r>
            <w:bookmarkEnd w:id="944"/>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5" w:name="_Toc160536707"/>
            <w:r w:rsidRPr="00EF535A">
              <w:rPr>
                <w:b/>
                <w:bCs/>
              </w:rPr>
              <w:t>Kat. SB</w:t>
            </w:r>
            <w:r w:rsidRPr="00EF535A">
              <w:rPr>
                <w:b/>
                <w:bCs/>
                <w:vertAlign w:val="subscript"/>
              </w:rPr>
              <w:t>LA </w:t>
            </w:r>
            <w:r w:rsidRPr="00EF535A">
              <w:rPr>
                <w:b/>
                <w:bCs/>
              </w:rPr>
              <w:t>(tj. wzrost współczynnika Los Angeles po gotowaniu ≤ 8%)</w:t>
            </w:r>
            <w:bookmarkEnd w:id="945"/>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6" w:name="_Toc160536708"/>
            <w:r w:rsidRPr="00EF535A">
              <w:rPr>
                <w:b/>
                <w:bCs/>
              </w:rPr>
              <w:t>Mrozoodporność na frakcji kruszy-</w:t>
            </w:r>
            <w:r w:rsidRPr="00EF535A">
              <w:rPr>
                <w:b/>
                <w:bCs/>
              </w:rPr>
              <w:br/>
              <w:t>wa  8/16 mm</w:t>
            </w:r>
            <w:bookmarkEnd w:id="946"/>
            <w:r w:rsidRPr="00EF535A">
              <w:rPr>
                <w:b/>
                <w:bCs/>
              </w:rPr>
              <w:t> </w:t>
            </w:r>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7" w:name="_Toc160536709"/>
            <w:r w:rsidRPr="00EF535A">
              <w:rPr>
                <w:b/>
                <w:bCs/>
              </w:rPr>
              <w:t xml:space="preserve">PN-EN 1367-1 </w:t>
            </w:r>
            <w:r w:rsidRPr="00EF535A">
              <w:rPr>
                <w:b/>
                <w:bCs/>
              </w:rPr>
              <w:lastRenderedPageBreak/>
              <w:t>[15]</w:t>
            </w:r>
            <w:bookmarkEnd w:id="947"/>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8" w:name="_Toc160536710"/>
            <w:r w:rsidRPr="00EF535A">
              <w:rPr>
                <w:b/>
                <w:bCs/>
              </w:rPr>
              <w:lastRenderedPageBreak/>
              <w:t>7.3.3</w:t>
            </w:r>
            <w:bookmarkEnd w:id="948"/>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49" w:name="_Toc160536711"/>
            <w:r w:rsidRPr="00EF535A">
              <w:rPr>
                <w:b/>
                <w:bCs/>
              </w:rPr>
              <w:t>Skały magmowe i przeobrażone: kat. F</w:t>
            </w:r>
            <w:r w:rsidRPr="00EF535A">
              <w:rPr>
                <w:b/>
                <w:bCs/>
                <w:vertAlign w:val="subscript"/>
              </w:rPr>
              <w:t>4</w:t>
            </w:r>
            <w:r w:rsidRPr="00EF535A">
              <w:rPr>
                <w:b/>
                <w:bCs/>
              </w:rPr>
              <w:t xml:space="preserve"> (tj. zamrażanie-rozmrażanie ≤ 4% masy), skały </w:t>
            </w:r>
            <w:r w:rsidRPr="00EF535A">
              <w:rPr>
                <w:b/>
                <w:bCs/>
              </w:rPr>
              <w:lastRenderedPageBreak/>
              <w:t>osadowe: kat. F</w:t>
            </w:r>
            <w:r w:rsidRPr="00EF535A">
              <w:rPr>
                <w:b/>
                <w:bCs/>
                <w:vertAlign w:val="subscript"/>
              </w:rPr>
              <w:t>10</w:t>
            </w:r>
            <w:r w:rsidRPr="00EF535A">
              <w:rPr>
                <w:b/>
                <w:bCs/>
              </w:rPr>
              <w:t>, kruszywa z recyklingu: kat. F</w:t>
            </w:r>
            <w:r w:rsidRPr="00EF535A">
              <w:rPr>
                <w:b/>
                <w:bCs/>
                <w:vertAlign w:val="subscript"/>
              </w:rPr>
              <w:t>10</w:t>
            </w:r>
            <w:r w:rsidRPr="00EF535A">
              <w:rPr>
                <w:b/>
                <w:bCs/>
              </w:rPr>
              <w:t> (F</w:t>
            </w:r>
            <w:r w:rsidRPr="00EF535A">
              <w:rPr>
                <w:b/>
                <w:bCs/>
                <w:vertAlign w:val="subscript"/>
              </w:rPr>
              <w:t>25</w:t>
            </w:r>
            <w:r w:rsidRPr="00EF535A">
              <w:rPr>
                <w:b/>
                <w:bCs/>
              </w:rPr>
              <w:t>***)</w:t>
            </w:r>
            <w:bookmarkEnd w:id="949"/>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50" w:name="_Toc160536712"/>
            <w:r w:rsidRPr="00EF535A">
              <w:rPr>
                <w:b/>
                <w:bCs/>
              </w:rPr>
              <w:lastRenderedPageBreak/>
              <w:t>Skład materiałowy</w:t>
            </w:r>
            <w:bookmarkEnd w:id="950"/>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51" w:name="_Toc160536713"/>
            <w:r w:rsidRPr="00EF535A">
              <w:rPr>
                <w:b/>
                <w:bCs/>
              </w:rPr>
              <w:t>-</w:t>
            </w:r>
            <w:bookmarkEnd w:id="951"/>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52" w:name="_Toc160536714"/>
            <w:r w:rsidRPr="00EF535A">
              <w:rPr>
                <w:b/>
                <w:bCs/>
              </w:rPr>
              <w:t>Zał. C</w:t>
            </w:r>
            <w:bookmarkEnd w:id="952"/>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53" w:name="_Toc160536715"/>
            <w:r w:rsidRPr="00EF535A">
              <w:rPr>
                <w:b/>
                <w:bCs/>
              </w:rPr>
              <w:t>Deklarowany</w:t>
            </w:r>
            <w:bookmarkEnd w:id="953"/>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54" w:name="_Toc160536716"/>
            <w:r w:rsidRPr="00EF535A">
              <w:rPr>
                <w:b/>
                <w:bCs/>
              </w:rPr>
              <w:t>Istotne cechy środowiskowe</w:t>
            </w:r>
            <w:bookmarkEnd w:id="954"/>
          </w:p>
        </w:tc>
        <w:tc>
          <w:tcPr>
            <w:tcW w:w="9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55" w:name="_Toc160536717"/>
            <w:r w:rsidRPr="00EF535A">
              <w:rPr>
                <w:b/>
                <w:bCs/>
              </w:rPr>
              <w:t>-</w:t>
            </w:r>
            <w:bookmarkEnd w:id="955"/>
          </w:p>
        </w:tc>
        <w:tc>
          <w:tcPr>
            <w:tcW w:w="85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56" w:name="_Toc160536718"/>
            <w:r w:rsidRPr="00EF535A">
              <w:rPr>
                <w:b/>
                <w:bCs/>
              </w:rPr>
              <w:t>Zał. C</w:t>
            </w:r>
            <w:bookmarkEnd w:id="956"/>
          </w:p>
          <w:p w:rsidR="0034055A" w:rsidRPr="00EF535A" w:rsidRDefault="0034055A" w:rsidP="00196DDD">
            <w:pPr>
              <w:rPr>
                <w:b/>
                <w:bCs/>
              </w:rPr>
            </w:pPr>
            <w:bookmarkStart w:id="957" w:name="_Toc160536719"/>
            <w:r w:rsidRPr="00EF535A">
              <w:rPr>
                <w:b/>
                <w:bCs/>
              </w:rPr>
              <w:t>pkt</w:t>
            </w:r>
            <w:bookmarkEnd w:id="957"/>
          </w:p>
          <w:p w:rsidR="0034055A" w:rsidRPr="00EF535A" w:rsidRDefault="0034055A" w:rsidP="00196DDD">
            <w:pPr>
              <w:rPr>
                <w:b/>
                <w:bCs/>
              </w:rPr>
            </w:pPr>
            <w:bookmarkStart w:id="958" w:name="_Toc160536720"/>
            <w:r w:rsidRPr="00EF535A">
              <w:rPr>
                <w:b/>
                <w:bCs/>
              </w:rPr>
              <w:t>C.3.4</w:t>
            </w:r>
            <w:bookmarkEnd w:id="958"/>
          </w:p>
        </w:tc>
        <w:tc>
          <w:tcPr>
            <w:tcW w:w="396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59" w:name="_Toc160536721"/>
            <w:r w:rsidRPr="00EF535A">
              <w:rPr>
                <w:b/>
                <w:bCs/>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bookmarkEnd w:id="959"/>
          </w:p>
        </w:tc>
      </w:tr>
      <w:tr w:rsidR="0034055A" w:rsidRPr="007078D3" w:rsidTr="0034055A">
        <w:tc>
          <w:tcPr>
            <w:tcW w:w="8897" w:type="dxa"/>
            <w:gridSpan w:val="4"/>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rPr>
            </w:pPr>
            <w:bookmarkStart w:id="960" w:name="_Toc160536722"/>
            <w:r w:rsidRPr="00EF535A">
              <w:rPr>
                <w:b/>
                <w:bCs/>
              </w:rPr>
              <w:t>*)       Łączna zawartość pyłów w mieszance powinna się mieścić w wybranych krzywych granicznych</w:t>
            </w:r>
            <w:bookmarkEnd w:id="960"/>
          </w:p>
          <w:p w:rsidR="0034055A" w:rsidRPr="00EF535A" w:rsidRDefault="0034055A" w:rsidP="00196DDD">
            <w:pPr>
              <w:rPr>
                <w:b/>
                <w:bCs/>
              </w:rPr>
            </w:pPr>
            <w:bookmarkStart w:id="961" w:name="_Toc160536723"/>
            <w:r w:rsidRPr="00EF535A">
              <w:rPr>
                <w:b/>
                <w:bCs/>
              </w:rPr>
              <w:t>**)    W przypadku, gdy wymaganie nie jest spełnione , należy sprawdzić mrozoodporność (F</w:t>
            </w:r>
            <w:r w:rsidRPr="00EF535A">
              <w:rPr>
                <w:b/>
                <w:bCs/>
                <w:vertAlign w:val="subscript"/>
              </w:rPr>
              <w:t>7</w:t>
            </w:r>
            <w:r w:rsidRPr="00EF535A">
              <w:rPr>
                <w:b/>
                <w:bCs/>
              </w:rPr>
              <w:t>)</w:t>
            </w:r>
            <w:bookmarkEnd w:id="961"/>
          </w:p>
          <w:p w:rsidR="0034055A" w:rsidRPr="00EF535A" w:rsidRDefault="0034055A" w:rsidP="00196DDD">
            <w:pPr>
              <w:rPr>
                <w:b/>
                <w:bCs/>
              </w:rPr>
            </w:pPr>
            <w:bookmarkStart w:id="962" w:name="_Toc160536724"/>
            <w:r w:rsidRPr="00EF535A">
              <w:rPr>
                <w:b/>
                <w:bCs/>
              </w:rPr>
              <w:t>***)  Pod warunkiem, gdy zawartość w mieszance nie przekracza 50% m/m</w:t>
            </w:r>
            <w:bookmarkEnd w:id="962"/>
          </w:p>
        </w:tc>
      </w:tr>
    </w:tbl>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bookmarkStart w:id="963" w:name="_Toc160536725"/>
      <w:r w:rsidRPr="007078D3">
        <w:rPr>
          <w:b/>
          <w:bCs/>
          <w:color w:val="000000"/>
        </w:rPr>
        <w:t>2.2.4. </w:t>
      </w:r>
      <w:r w:rsidRPr="007078D3">
        <w:rPr>
          <w:color w:val="000000"/>
        </w:rPr>
        <w:t>Woda do zraszania kruszywa</w:t>
      </w:r>
      <w:bookmarkEnd w:id="963"/>
    </w:p>
    <w:p w:rsidR="0034055A" w:rsidRPr="00EF535A" w:rsidRDefault="0034055A" w:rsidP="00196DDD">
      <w:pPr>
        <w:rPr>
          <w:b/>
          <w:bCs/>
          <w:color w:val="000000"/>
        </w:rPr>
      </w:pPr>
      <w:r w:rsidRPr="00EF535A">
        <w:rPr>
          <w:b/>
          <w:bCs/>
          <w:color w:val="000000"/>
        </w:rPr>
        <w:t xml:space="preserve">            </w:t>
      </w:r>
      <w:bookmarkStart w:id="964" w:name="_Toc160536726"/>
      <w:r w:rsidRPr="00EF535A">
        <w:rPr>
          <w:b/>
          <w:bCs/>
          <w:color w:val="000000"/>
        </w:rPr>
        <w:t>Do zraszania kruszywa należy stosować wodę nie zawierającą składników wpływających szkodliwie na mieszankę kruszywa, ale umożliwiającą właściwe zagęszczenie mieszanki niezwiązanej, odpowiadającą wymaganiom normy PN-EN 1008 [24]. Stosowanie wody wodociągowej nie wymaga badań.</w:t>
      </w:r>
      <w:bookmarkEnd w:id="964"/>
    </w:p>
    <w:p w:rsidR="0034055A" w:rsidRPr="007078D3" w:rsidRDefault="0034055A" w:rsidP="00196DDD">
      <w:pPr>
        <w:rPr>
          <w:caps/>
          <w:color w:val="000000"/>
        </w:rPr>
      </w:pPr>
      <w:bookmarkStart w:id="965" w:name="_Toc348096808"/>
      <w:r w:rsidRPr="007078D3">
        <w:rPr>
          <w:caps/>
          <w:color w:val="000000"/>
        </w:rPr>
        <w:t>3. SPRZĘT</w:t>
      </w:r>
      <w:bookmarkEnd w:id="965"/>
    </w:p>
    <w:p w:rsidR="0034055A" w:rsidRPr="007078D3" w:rsidRDefault="0034055A" w:rsidP="00196DDD">
      <w:pPr>
        <w:rPr>
          <w:color w:val="000000"/>
        </w:rPr>
      </w:pPr>
      <w:r w:rsidRPr="007078D3">
        <w:rPr>
          <w:color w:val="000000"/>
        </w:rPr>
        <w:t>3.1. Ogólne wymagania dotyczące sprzętu</w:t>
      </w:r>
    </w:p>
    <w:p w:rsidR="0034055A" w:rsidRPr="007078D3" w:rsidRDefault="0034055A" w:rsidP="00196DDD">
      <w:pPr>
        <w:rPr>
          <w:color w:val="000000"/>
        </w:rPr>
      </w:pPr>
      <w:r w:rsidRPr="007078D3">
        <w:rPr>
          <w:color w:val="000000"/>
        </w:rPr>
        <w:t xml:space="preserve">            Ogólne wymagania dotyczące sprzętu podano w </w:t>
      </w:r>
      <w:r w:rsidR="00985629">
        <w:rPr>
          <w:color w:val="000000"/>
        </w:rPr>
        <w:t>SST</w:t>
      </w:r>
      <w:r w:rsidRPr="007078D3">
        <w:rPr>
          <w:color w:val="000000"/>
        </w:rPr>
        <w:t>  D-M-00.00.00 „Wymagania ogólne” [1], pkt 3.</w:t>
      </w:r>
    </w:p>
    <w:p w:rsidR="0034055A" w:rsidRPr="007078D3" w:rsidRDefault="0034055A" w:rsidP="00196DDD">
      <w:pPr>
        <w:rPr>
          <w:color w:val="000000"/>
        </w:rPr>
      </w:pPr>
      <w:r w:rsidRPr="007078D3">
        <w:rPr>
          <w:color w:val="000000"/>
        </w:rPr>
        <w:t>3.2. Sprzęt stosowany do wykonania robót</w:t>
      </w:r>
    </w:p>
    <w:p w:rsidR="0034055A" w:rsidRPr="007078D3" w:rsidRDefault="0034055A" w:rsidP="00196DDD">
      <w:pPr>
        <w:rPr>
          <w:color w:val="000000"/>
        </w:rPr>
      </w:pPr>
      <w:r w:rsidRPr="007078D3">
        <w:rPr>
          <w:color w:val="000000"/>
        </w:rPr>
        <w:t>            Przy wykonywaniu robót Wykonawca w zależności od potrzeb, powinien wykazać się możliwością korzystania ze sprzętu dostosowanego do przyjętej metody robót, jak:</w:t>
      </w:r>
    </w:p>
    <w:p w:rsidR="0034055A" w:rsidRPr="007078D3" w:rsidRDefault="0034055A" w:rsidP="00196DDD">
      <w:pPr>
        <w:rPr>
          <w:color w:val="000000"/>
        </w:rPr>
      </w:pPr>
      <w:r w:rsidRPr="007078D3">
        <w:rPr>
          <w:color w:val="000000"/>
        </w:rPr>
        <w:t>a)   mieszarki do wytwarzania mieszanki kruszywa, wyposażone w urządzenia dozujące wodę, które powinny zapewnić wytworzenie jednorodnej mieszanki o wilgotności optymalnej,</w:t>
      </w:r>
    </w:p>
    <w:p w:rsidR="0034055A" w:rsidRPr="007078D3" w:rsidRDefault="0034055A" w:rsidP="00196DDD">
      <w:pPr>
        <w:rPr>
          <w:color w:val="000000"/>
        </w:rPr>
      </w:pPr>
      <w:r w:rsidRPr="007078D3">
        <w:rPr>
          <w:color w:val="000000"/>
        </w:rPr>
        <w:t>b)  układarki lub równiarki do rozkładania mieszanki kruszywa niezwiązanego,</w:t>
      </w:r>
    </w:p>
    <w:p w:rsidR="0034055A" w:rsidRPr="007078D3" w:rsidRDefault="0034055A" w:rsidP="00196DDD">
      <w:pPr>
        <w:rPr>
          <w:color w:val="000000"/>
        </w:rPr>
      </w:pPr>
      <w:r w:rsidRPr="007078D3">
        <w:rPr>
          <w:color w:val="000000"/>
        </w:rPr>
        <w:t>c)   walce ogumione i stalowe wibracyjne lub statyczne do zagęszczania mieszanki,</w:t>
      </w:r>
    </w:p>
    <w:p w:rsidR="0034055A" w:rsidRPr="007078D3" w:rsidRDefault="0034055A" w:rsidP="00196DDD">
      <w:pPr>
        <w:rPr>
          <w:color w:val="000000"/>
        </w:rPr>
      </w:pPr>
      <w:r w:rsidRPr="007078D3">
        <w:rPr>
          <w:color w:val="000000"/>
        </w:rPr>
        <w:t>d)  zagęszczarki płytowe, ubijaki mechaniczne lub małe walce wibracyjne, do stosowania w miejscach trudno dostępnych.</w:t>
      </w:r>
    </w:p>
    <w:p w:rsidR="0034055A" w:rsidRPr="007078D3" w:rsidRDefault="0034055A" w:rsidP="00196DDD">
      <w:pPr>
        <w:rPr>
          <w:color w:val="000000"/>
        </w:rPr>
      </w:pPr>
      <w:r w:rsidRPr="007078D3">
        <w:rPr>
          <w:color w:val="000000"/>
        </w:rPr>
        <w:t>Sprzęt powinien odpowiadać wymaganiom określonym w dokumentacji projektowej, ST, instrukcjach producentów lub propozycji Wykonawcy i powinien być zaakceptowany przez Inżyniera.</w:t>
      </w:r>
    </w:p>
    <w:p w:rsidR="0034055A" w:rsidRPr="007078D3" w:rsidRDefault="0034055A" w:rsidP="00196DDD">
      <w:pPr>
        <w:rPr>
          <w:caps/>
          <w:color w:val="000000"/>
        </w:rPr>
      </w:pPr>
      <w:bookmarkStart w:id="966" w:name="_Toc348096809"/>
      <w:r w:rsidRPr="007078D3">
        <w:rPr>
          <w:caps/>
          <w:color w:val="000000"/>
        </w:rPr>
        <w:t>4. TRANSPORT</w:t>
      </w:r>
      <w:bookmarkEnd w:id="966"/>
    </w:p>
    <w:p w:rsidR="0034055A" w:rsidRPr="007078D3" w:rsidRDefault="0034055A" w:rsidP="00196DDD">
      <w:pPr>
        <w:rPr>
          <w:color w:val="000000"/>
        </w:rPr>
      </w:pPr>
      <w:r w:rsidRPr="007078D3">
        <w:rPr>
          <w:color w:val="000000"/>
        </w:rPr>
        <w:t>4.1. Ogólne wymagania dotyczące transportu</w:t>
      </w:r>
    </w:p>
    <w:p w:rsidR="0034055A" w:rsidRPr="007078D3" w:rsidRDefault="0034055A" w:rsidP="00196DDD">
      <w:pPr>
        <w:rPr>
          <w:color w:val="000000"/>
        </w:rPr>
      </w:pPr>
      <w:r w:rsidRPr="007078D3">
        <w:rPr>
          <w:color w:val="000000"/>
        </w:rPr>
        <w:t xml:space="preserve">          Ogólne wymagania dotyczące transportu podano w </w:t>
      </w:r>
      <w:r w:rsidR="00985629">
        <w:rPr>
          <w:color w:val="000000"/>
        </w:rPr>
        <w:t>SST</w:t>
      </w:r>
      <w:r w:rsidRPr="007078D3">
        <w:rPr>
          <w:color w:val="000000"/>
        </w:rPr>
        <w:t xml:space="preserve"> D-M-00.00.00 „Wymagania ogólne” [1],  pkt 4.</w:t>
      </w:r>
    </w:p>
    <w:p w:rsidR="0034055A" w:rsidRPr="007078D3" w:rsidRDefault="0034055A" w:rsidP="00196DDD">
      <w:pPr>
        <w:rPr>
          <w:color w:val="000000"/>
        </w:rPr>
      </w:pPr>
      <w:r w:rsidRPr="007078D3">
        <w:rPr>
          <w:color w:val="000000"/>
        </w:rPr>
        <w:t>4.2. Transport materiałów</w:t>
      </w:r>
    </w:p>
    <w:p w:rsidR="0034055A" w:rsidRPr="007078D3" w:rsidRDefault="0034055A" w:rsidP="00196DDD">
      <w:pPr>
        <w:rPr>
          <w:color w:val="000000"/>
        </w:rPr>
      </w:pPr>
      <w:r w:rsidRPr="007078D3">
        <w:rPr>
          <w:color w:val="000000"/>
        </w:rPr>
        <w:t>            Materiały sypkie (kruszywa) można przewozić dowolnymi środkami transportu, w warunkach zabezpieczających je przed  zanieczyszczeniem, zmieszaniem z innymi materiałami i nadmiernym zawilgoceniem.</w:t>
      </w:r>
    </w:p>
    <w:p w:rsidR="0034055A" w:rsidRPr="007078D3" w:rsidRDefault="0034055A" w:rsidP="00196DDD">
      <w:pPr>
        <w:rPr>
          <w:color w:val="000000"/>
        </w:rPr>
      </w:pPr>
      <w:r w:rsidRPr="007078D3">
        <w:rPr>
          <w:color w:val="000000"/>
        </w:rPr>
        <w:t>            Woda może być dostarczana wodociągiem lub przewoźnymi zbiornikami wody.</w:t>
      </w:r>
    </w:p>
    <w:p w:rsidR="0034055A" w:rsidRPr="007078D3" w:rsidRDefault="0034055A" w:rsidP="00196DDD">
      <w:pPr>
        <w:rPr>
          <w:caps/>
          <w:color w:val="000000"/>
        </w:rPr>
      </w:pPr>
      <w:bookmarkStart w:id="967" w:name="_Toc348096810"/>
      <w:r w:rsidRPr="007078D3">
        <w:rPr>
          <w:caps/>
          <w:color w:val="000000"/>
        </w:rPr>
        <w:t>5. WYKONANIE ROBÓT</w:t>
      </w:r>
      <w:bookmarkEnd w:id="967"/>
    </w:p>
    <w:p w:rsidR="0034055A" w:rsidRPr="007078D3" w:rsidRDefault="0034055A" w:rsidP="00196DDD">
      <w:pPr>
        <w:rPr>
          <w:color w:val="000000"/>
        </w:rPr>
      </w:pPr>
      <w:r w:rsidRPr="007078D3">
        <w:rPr>
          <w:color w:val="000000"/>
        </w:rPr>
        <w:t>5.1. Ogólne zasady wykonania robót</w:t>
      </w:r>
    </w:p>
    <w:p w:rsidR="0034055A" w:rsidRPr="007078D3" w:rsidRDefault="0034055A" w:rsidP="00196DDD">
      <w:pPr>
        <w:rPr>
          <w:color w:val="000000"/>
        </w:rPr>
      </w:pPr>
      <w:r w:rsidRPr="007078D3">
        <w:rPr>
          <w:color w:val="000000"/>
        </w:rPr>
        <w:t xml:space="preserve">               Ogólne zasady wykonania robót podano w </w:t>
      </w:r>
      <w:r w:rsidR="00985629">
        <w:rPr>
          <w:color w:val="000000"/>
        </w:rPr>
        <w:t>SST</w:t>
      </w:r>
      <w:r w:rsidRPr="007078D3">
        <w:rPr>
          <w:color w:val="000000"/>
        </w:rPr>
        <w:t xml:space="preserve"> D-M-00.00.00 „Wymagania ogólne” [1], pkt 5.</w:t>
      </w:r>
    </w:p>
    <w:p w:rsidR="0034055A" w:rsidRPr="007078D3" w:rsidRDefault="0034055A" w:rsidP="00196DDD">
      <w:pPr>
        <w:rPr>
          <w:color w:val="000000"/>
        </w:rPr>
      </w:pPr>
      <w:r w:rsidRPr="007078D3">
        <w:rPr>
          <w:color w:val="000000"/>
        </w:rPr>
        <w:t>5.2. Zasady wykonywania robót</w:t>
      </w:r>
    </w:p>
    <w:p w:rsidR="0034055A" w:rsidRPr="007078D3" w:rsidRDefault="0034055A" w:rsidP="00196DDD">
      <w:pPr>
        <w:rPr>
          <w:color w:val="000000"/>
        </w:rPr>
      </w:pPr>
      <w:r w:rsidRPr="007078D3">
        <w:rPr>
          <w:color w:val="000000"/>
        </w:rPr>
        <w:t>Sposób wykonania robót powinien być zgodny z dokumentacją projektową i ST. W przypadku braku wystarczających danych można korzystać z ustaleń podanych w niniejszej specyfikacji oraz z informacji podanych w załącznikach.</w:t>
      </w:r>
    </w:p>
    <w:p w:rsidR="0034055A" w:rsidRPr="007078D3" w:rsidRDefault="0034055A" w:rsidP="00196DDD">
      <w:pPr>
        <w:rPr>
          <w:color w:val="000000"/>
        </w:rPr>
      </w:pPr>
      <w:r w:rsidRPr="007078D3">
        <w:rPr>
          <w:color w:val="000000"/>
        </w:rPr>
        <w:t>            Podstawowe czynności przy wykonaniu robót obejmują:</w:t>
      </w:r>
    </w:p>
    <w:p w:rsidR="0034055A" w:rsidRPr="007078D3" w:rsidRDefault="0034055A" w:rsidP="00196DDD">
      <w:pPr>
        <w:rPr>
          <w:color w:val="000000"/>
        </w:rPr>
      </w:pPr>
      <w:r w:rsidRPr="007078D3">
        <w:rPr>
          <w:color w:val="000000"/>
        </w:rPr>
        <w:t>1.   roboty przygotowawcze,</w:t>
      </w:r>
    </w:p>
    <w:p w:rsidR="0034055A" w:rsidRPr="007078D3" w:rsidRDefault="0034055A" w:rsidP="00196DDD">
      <w:pPr>
        <w:rPr>
          <w:color w:val="000000"/>
        </w:rPr>
      </w:pPr>
      <w:r w:rsidRPr="007078D3">
        <w:rPr>
          <w:color w:val="000000"/>
        </w:rPr>
        <w:t>2.   projektowanie mieszanki,</w:t>
      </w:r>
    </w:p>
    <w:p w:rsidR="0034055A" w:rsidRPr="007078D3" w:rsidRDefault="0034055A" w:rsidP="00196DDD">
      <w:pPr>
        <w:rPr>
          <w:color w:val="000000"/>
        </w:rPr>
      </w:pPr>
      <w:r w:rsidRPr="007078D3">
        <w:rPr>
          <w:color w:val="000000"/>
        </w:rPr>
        <w:t>3.   odcinek próbny,</w:t>
      </w:r>
    </w:p>
    <w:p w:rsidR="0034055A" w:rsidRPr="007078D3" w:rsidRDefault="0034055A" w:rsidP="00196DDD">
      <w:pPr>
        <w:rPr>
          <w:color w:val="000000"/>
        </w:rPr>
      </w:pPr>
      <w:r w:rsidRPr="007078D3">
        <w:rPr>
          <w:color w:val="000000"/>
        </w:rPr>
        <w:t>4.   wbudowanie mieszanki,</w:t>
      </w:r>
    </w:p>
    <w:p w:rsidR="0034055A" w:rsidRPr="007078D3" w:rsidRDefault="0034055A" w:rsidP="00196DDD">
      <w:pPr>
        <w:rPr>
          <w:color w:val="000000"/>
        </w:rPr>
      </w:pPr>
      <w:r w:rsidRPr="007078D3">
        <w:rPr>
          <w:color w:val="000000"/>
        </w:rPr>
        <w:t>5.   roboty wykończeniowe.</w:t>
      </w:r>
    </w:p>
    <w:p w:rsidR="0034055A" w:rsidRPr="007078D3" w:rsidRDefault="0034055A" w:rsidP="00196DDD">
      <w:pPr>
        <w:rPr>
          <w:color w:val="000000"/>
        </w:rPr>
      </w:pPr>
      <w:r w:rsidRPr="007078D3">
        <w:rPr>
          <w:color w:val="000000"/>
        </w:rPr>
        <w:t>5.3. Roboty przygotowawcze</w:t>
      </w:r>
    </w:p>
    <w:p w:rsidR="0034055A" w:rsidRPr="007078D3" w:rsidRDefault="0034055A" w:rsidP="00196DDD">
      <w:pPr>
        <w:rPr>
          <w:color w:val="000000"/>
        </w:rPr>
      </w:pPr>
      <w:r w:rsidRPr="007078D3">
        <w:rPr>
          <w:color w:val="000000"/>
        </w:rPr>
        <w:t>            Przed przystąpieniem do robót należy, na podstawie dokumentacji projektowej,  ST lub wskazań Inżyniera:</w:t>
      </w:r>
    </w:p>
    <w:p w:rsidR="0034055A" w:rsidRPr="007078D3" w:rsidRDefault="0034055A" w:rsidP="00196DDD">
      <w:pPr>
        <w:rPr>
          <w:color w:val="000000"/>
        </w:rPr>
      </w:pPr>
      <w:r w:rsidRPr="007078D3">
        <w:rPr>
          <w:color w:val="000000"/>
        </w:rPr>
        <w:t>–    ustalić lokalizację robót,</w:t>
      </w:r>
    </w:p>
    <w:p w:rsidR="0034055A" w:rsidRPr="007078D3" w:rsidRDefault="0034055A" w:rsidP="00196DDD">
      <w:pPr>
        <w:rPr>
          <w:color w:val="000000"/>
        </w:rPr>
      </w:pPr>
      <w:r w:rsidRPr="007078D3">
        <w:rPr>
          <w:color w:val="000000"/>
        </w:rPr>
        <w:t>–    przeprowadzić obliczenia i pomiary niezbędne do szczegółowego wytyczenia robót oraz ustalenia danych wysokościowych,</w:t>
      </w:r>
    </w:p>
    <w:p w:rsidR="0034055A" w:rsidRPr="007078D3" w:rsidRDefault="0034055A" w:rsidP="00196DDD">
      <w:pPr>
        <w:rPr>
          <w:color w:val="000000"/>
        </w:rPr>
      </w:pPr>
      <w:r w:rsidRPr="007078D3">
        <w:rPr>
          <w:color w:val="000000"/>
        </w:rPr>
        <w:t>–    usunąć przeszkody utrudniające wykonanie robót,</w:t>
      </w:r>
    </w:p>
    <w:p w:rsidR="0034055A" w:rsidRPr="007078D3" w:rsidRDefault="0034055A" w:rsidP="00196DDD">
      <w:pPr>
        <w:rPr>
          <w:color w:val="000000"/>
        </w:rPr>
      </w:pPr>
      <w:r w:rsidRPr="007078D3">
        <w:rPr>
          <w:color w:val="000000"/>
        </w:rPr>
        <w:t>–    wprowadzić oznakowanie drogi na okres robót,</w:t>
      </w:r>
    </w:p>
    <w:p w:rsidR="0034055A" w:rsidRPr="007078D3" w:rsidRDefault="0034055A" w:rsidP="00196DDD">
      <w:pPr>
        <w:rPr>
          <w:color w:val="000000"/>
        </w:rPr>
      </w:pPr>
      <w:r w:rsidRPr="007078D3">
        <w:rPr>
          <w:color w:val="000000"/>
        </w:rPr>
        <w:t>–    zgromadzić materiały i sprzęt potrzebne do rozpoczęcia robót.</w:t>
      </w:r>
    </w:p>
    <w:p w:rsidR="0034055A" w:rsidRPr="007078D3" w:rsidRDefault="0034055A" w:rsidP="00196DDD">
      <w:pPr>
        <w:rPr>
          <w:color w:val="000000"/>
        </w:rPr>
      </w:pPr>
      <w:r w:rsidRPr="007078D3">
        <w:rPr>
          <w:color w:val="000000"/>
        </w:rPr>
        <w:t xml:space="preserve">Można dodatkowo korzystać z </w:t>
      </w:r>
      <w:r w:rsidR="00985629">
        <w:rPr>
          <w:color w:val="000000"/>
        </w:rPr>
        <w:t>SST</w:t>
      </w:r>
      <w:r w:rsidRPr="007078D3">
        <w:rPr>
          <w:color w:val="000000"/>
        </w:rPr>
        <w:t xml:space="preserve"> D-01.00.00 [2] przy robotach przygotowawczych oraz z </w:t>
      </w:r>
      <w:r w:rsidR="00985629">
        <w:rPr>
          <w:color w:val="000000"/>
        </w:rPr>
        <w:t>SST</w:t>
      </w:r>
      <w:r w:rsidRPr="007078D3">
        <w:rPr>
          <w:color w:val="000000"/>
        </w:rPr>
        <w:t xml:space="preserve"> D-02.00.00 [3] przy występowaniu robót ziemnych.</w:t>
      </w:r>
    </w:p>
    <w:p w:rsidR="0034055A" w:rsidRPr="007078D3" w:rsidRDefault="0034055A" w:rsidP="00196DDD">
      <w:pPr>
        <w:rPr>
          <w:color w:val="000000"/>
        </w:rPr>
      </w:pPr>
      <w:r w:rsidRPr="007078D3">
        <w:rPr>
          <w:color w:val="000000"/>
        </w:rPr>
        <w:lastRenderedPageBreak/>
        <w:t>5.4. Projektowanie mieszanki kruszywa niezwiązanego</w:t>
      </w:r>
    </w:p>
    <w:p w:rsidR="0034055A" w:rsidRPr="007078D3" w:rsidRDefault="0034055A" w:rsidP="00196DDD">
      <w:pPr>
        <w:rPr>
          <w:color w:val="000000"/>
        </w:rPr>
      </w:pPr>
      <w:r w:rsidRPr="007078D3">
        <w:rPr>
          <w:b/>
          <w:bCs/>
          <w:color w:val="000000"/>
        </w:rPr>
        <w:t>5.4.1. </w:t>
      </w:r>
      <w:r w:rsidRPr="007078D3">
        <w:rPr>
          <w:color w:val="000000"/>
        </w:rPr>
        <w:t>Postanowienia ogólne</w:t>
      </w:r>
    </w:p>
    <w:p w:rsidR="0034055A" w:rsidRPr="007078D3" w:rsidRDefault="0034055A" w:rsidP="00196DDD">
      <w:pPr>
        <w:rPr>
          <w:color w:val="000000"/>
        </w:rPr>
      </w:pPr>
      <w:r w:rsidRPr="007078D3">
        <w:rPr>
          <w:color w:val="000000"/>
        </w:rPr>
        <w:t>Przed przystąpieniem do robót, w terminie uzgodnionym z Inżynierem, Wykonawca dostarczy Inżynierowi do akceptacji projekt składu mieszanki kruszywa niezwiązanego oraz wyniki badań laboratoryjnych poszczególnych składników i próbki materiałów pobrane w obecności Inżyniera do wykonania badań kontrolnych przez Inżyniera.</w:t>
      </w:r>
    </w:p>
    <w:p w:rsidR="0034055A" w:rsidRPr="007078D3" w:rsidRDefault="0034055A" w:rsidP="00196DDD">
      <w:pPr>
        <w:rPr>
          <w:color w:val="000000"/>
        </w:rPr>
      </w:pPr>
      <w:r w:rsidRPr="007078D3">
        <w:rPr>
          <w:color w:val="000000"/>
        </w:rPr>
        <w:t>            Projektowanie mieszanki polega na doborze kruszywa do mieszanki oraz ilości wody. Procedura projektowa powinna być oparta na próbach laboratoryjnych i/lub polowych przeprowadzonych na tych samych składnikach, z tych samych źródeł i o takich samych właściwościach, jak te które będą stosowane do wykonania podbudowy pomocniczej.</w:t>
      </w:r>
    </w:p>
    <w:p w:rsidR="0034055A" w:rsidRPr="007078D3" w:rsidRDefault="0034055A" w:rsidP="00196DDD">
      <w:pPr>
        <w:rPr>
          <w:color w:val="000000"/>
        </w:rPr>
      </w:pPr>
      <w:r w:rsidRPr="007078D3">
        <w:rPr>
          <w:color w:val="000000"/>
        </w:rPr>
        <w:t>            Skład mieszanki projektuje się zgodnie z wymaganiami wobec mieszanek niezwiązanych do podbudowy pomocniczej, określonych w tabeli 4. Wartości graniczne i tolerancje zawierają rozrzut wynikający z pobierania i dzielenia próbki, przedział ufności (precyzja w porównywalnych warunkach) oraz nierównomierności warunków wykonawczych.</w:t>
      </w:r>
    </w:p>
    <w:p w:rsidR="0034055A" w:rsidRPr="007078D3" w:rsidRDefault="0034055A" w:rsidP="00196DDD">
      <w:pPr>
        <w:rPr>
          <w:color w:val="000000"/>
        </w:rPr>
      </w:pPr>
      <w:r w:rsidRPr="007078D3">
        <w:rPr>
          <w:color w:val="000000"/>
        </w:rPr>
        <w:t>            Mieszanki kruszyw powinny być tak produkowane i składowane, aby wykazywały zachowanie jednakowych właściwości, spełniając wymagania z tabeli 4. Mieszanki kruszyw powinny być jednorodnie wymieszane i powinny charakteryzować się równomierną wilgotnością. Kruszywa powinny odpowiadać wymaganiom tabeli 1, przy czym w mieszankach wyprodukowanych z różnych kruszyw, każdy ze składników musi spełniać wymagania tabeli 1.</w:t>
      </w:r>
    </w:p>
    <w:p w:rsidR="0034055A" w:rsidRPr="007078D3" w:rsidRDefault="0034055A" w:rsidP="00196DDD">
      <w:pPr>
        <w:rPr>
          <w:color w:val="000000"/>
        </w:rPr>
      </w:pPr>
      <w:r w:rsidRPr="007078D3">
        <w:rPr>
          <w:color w:val="000000"/>
        </w:rPr>
        <w:t>            Przy projektowaniu mieszanek kruszyw z recyklingu można ustalać skład  mieszanek, wzorując się na przykładach podanych w załączniku 2.</w:t>
      </w:r>
    </w:p>
    <w:p w:rsidR="0034055A" w:rsidRPr="007078D3" w:rsidRDefault="0034055A" w:rsidP="00196DDD">
      <w:pPr>
        <w:rPr>
          <w:color w:val="000000"/>
        </w:rPr>
      </w:pPr>
      <w:r w:rsidRPr="007078D3">
        <w:rPr>
          <w:b/>
          <w:bCs/>
          <w:color w:val="000000"/>
        </w:rPr>
        <w:t>5.4.2. </w:t>
      </w:r>
      <w:r w:rsidRPr="007078D3">
        <w:rPr>
          <w:color w:val="000000"/>
        </w:rPr>
        <w:t>Wymagania wobec mieszanek</w:t>
      </w:r>
    </w:p>
    <w:p w:rsidR="0034055A" w:rsidRPr="007078D3" w:rsidRDefault="0034055A" w:rsidP="00196DDD">
      <w:pPr>
        <w:rPr>
          <w:color w:val="000000"/>
        </w:rPr>
      </w:pPr>
      <w:r w:rsidRPr="007078D3">
        <w:rPr>
          <w:color w:val="000000"/>
        </w:rPr>
        <w:t>            W warstwach podbudowy pomocniczej można stosować następujące mieszanki kruszyw:</w:t>
      </w:r>
    </w:p>
    <w:p w:rsidR="0034055A" w:rsidRPr="007078D3" w:rsidRDefault="0034055A" w:rsidP="00196DDD">
      <w:pPr>
        <w:rPr>
          <w:color w:val="000000"/>
        </w:rPr>
      </w:pPr>
      <w:bookmarkStart w:id="968" w:name="_Toc160536727"/>
      <w:r w:rsidRPr="007078D3">
        <w:rPr>
          <w:color w:val="000000"/>
        </w:rPr>
        <w:t>1.        0/31,5 mm,</w:t>
      </w:r>
      <w:bookmarkEnd w:id="968"/>
    </w:p>
    <w:p w:rsidR="0034055A" w:rsidRPr="007078D3" w:rsidRDefault="0034055A" w:rsidP="00196DDD">
      <w:pPr>
        <w:rPr>
          <w:color w:val="000000"/>
        </w:rPr>
      </w:pPr>
      <w:bookmarkStart w:id="969" w:name="_Toc160536728"/>
      <w:r w:rsidRPr="007078D3">
        <w:rPr>
          <w:color w:val="000000"/>
        </w:rPr>
        <w:t>2.        0/45 mm,</w:t>
      </w:r>
      <w:bookmarkEnd w:id="969"/>
    </w:p>
    <w:p w:rsidR="0034055A" w:rsidRPr="007078D3" w:rsidRDefault="0034055A" w:rsidP="00196DDD">
      <w:pPr>
        <w:rPr>
          <w:color w:val="000000"/>
        </w:rPr>
      </w:pPr>
      <w:bookmarkStart w:id="970" w:name="_Toc160536729"/>
      <w:r w:rsidRPr="007078D3">
        <w:rPr>
          <w:color w:val="000000"/>
        </w:rPr>
        <w:t>3.        0/63 mm.</w:t>
      </w:r>
      <w:bookmarkEnd w:id="970"/>
    </w:p>
    <w:p w:rsidR="0034055A" w:rsidRPr="007078D3" w:rsidRDefault="0034055A" w:rsidP="00196DDD">
      <w:pPr>
        <w:rPr>
          <w:color w:val="000000"/>
        </w:rPr>
      </w:pPr>
      <w:r w:rsidRPr="007078D3">
        <w:rPr>
          <w:color w:val="000000"/>
        </w:rPr>
        <w:t xml:space="preserve">            </w:t>
      </w:r>
      <w:bookmarkStart w:id="971" w:name="_Toc160536730"/>
      <w:r w:rsidRPr="007078D3">
        <w:rPr>
          <w:color w:val="000000"/>
        </w:rPr>
        <w:t>Wymagania wobec mieszanek przeznaczonych do podbudowy pomocniczej, podane w tabeli 4, odnośnie wrażliwości na mróz warstw z mieszanek kruszyw, dotyczą badania materiału po pięciokrotnym zagęszczeniu w aparacie Proctora według PN-EN 13286-2 [21].</w:t>
      </w:r>
      <w:bookmarkEnd w:id="971"/>
    </w:p>
    <w:p w:rsidR="0034055A" w:rsidRPr="007078D3" w:rsidRDefault="0034055A" w:rsidP="00196DDD">
      <w:pPr>
        <w:rPr>
          <w:color w:val="000000"/>
        </w:rPr>
      </w:pPr>
      <w:bookmarkStart w:id="972" w:name="_Toc160536731"/>
      <w:r w:rsidRPr="007078D3">
        <w:rPr>
          <w:color w:val="000000"/>
        </w:rPr>
        <w:t>Zawartość pyłów w mieszankach kruszyw do warstwy podbudowy pomocniczej, określana wg PN-EN 933-1 [8], powinna być zgodna z wymaganiami tabeli 4. W przypadku słabych kruszyw, zawartość pyłów w mieszance kruszyw należy również badać i deklarować, po pięciokrotnym zagęszczeniu metodą Proctora. Zawartość pyłów w takiej mieszance po pięciokrotnym zagęszczeniu metodą Proctora powinna również spełniać wymagania podane w tabeli 4. Nie określa się wymagania wobec minimalnej zawartości pyłów &lt; 0,063 mm w mieszankach kruszyw do warstwy podbudowy pomocniczej.</w:t>
      </w:r>
      <w:bookmarkEnd w:id="972"/>
    </w:p>
    <w:p w:rsidR="0034055A" w:rsidRPr="007078D3" w:rsidRDefault="0034055A" w:rsidP="00196DDD">
      <w:pPr>
        <w:rPr>
          <w:color w:val="000000"/>
        </w:rPr>
      </w:pPr>
      <w:bookmarkStart w:id="973" w:name="_Toc160536732"/>
      <w:r w:rsidRPr="007078D3">
        <w:rPr>
          <w:color w:val="000000"/>
        </w:rPr>
        <w:t>Zawartość nadziarna w mieszankach kruszyw, określana według PN-EN 933-1 [8] powinna spełniać wymagania podane w tabeli 4. W przypadku słabych kruszyw decyduje zawartość nadziarna w mieszance kruszyw po pięciokrotnym zagęszczeniu metodą Proctora.</w:t>
      </w:r>
      <w:bookmarkEnd w:id="973"/>
    </w:p>
    <w:p w:rsidR="0034055A" w:rsidRPr="007078D3" w:rsidRDefault="0034055A" w:rsidP="00196DDD">
      <w:pPr>
        <w:rPr>
          <w:color w:val="000000"/>
        </w:rPr>
      </w:pPr>
      <w:bookmarkStart w:id="974" w:name="_Toc160536733"/>
      <w:r w:rsidRPr="007078D3">
        <w:rPr>
          <w:color w:val="000000"/>
        </w:rPr>
        <w:t>Uziarnienie mieszanek kruszyw o wymiarach ziaren D od 0 do 63 mm należy określić według PN-EN 933-1 [8]. Krzywe uziarnienia mieszanki kruszyw do podbudowy pomocniczej powinny zawierać się w obszarze między krzywymi granicznymi uziarnienia przedstawionymi na rysunkach 1÷3, odpowiednio dla każdego rodzaju mieszanki. Na rysunkach 1÷3 pokazano również (liniami przerywanymi SDV) obszar uziarnienia, w którym powinna się mieścić krzywa uziarnienia mieszanki (S) deklarowana przez dostawcę/producenta. W przypadku słabych kruszyw uziarnienie mieszanki kruszyw należy również badać i deklarować, po pięciokrotnym zagęszczeniu metodą Proctora. Kryterium przydatności takiej mieszanki, pod względem uziarnienia, jest spełnione, jeżeli uziarnienie mieszanki po pięciokrotnym zagęszczeniu metodą Proctora mieści się w krzywych granicznych podanych na odpowiednich rysunkach 1÷3.</w:t>
      </w:r>
      <w:bookmarkEnd w:id="974"/>
      <w:r w:rsidRPr="007078D3">
        <w:rPr>
          <w:color w:val="000000"/>
        </w:rPr>
        <w:t xml:space="preserve">  </w:t>
      </w:r>
    </w:p>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noProof/>
          <w:color w:val="000000"/>
          <w:lang w:eastAsia="pl-PL"/>
        </w:rPr>
        <w:drawing>
          <wp:inline distT="0" distB="0" distL="0" distR="0">
            <wp:extent cx="5569585" cy="2470150"/>
            <wp:effectExtent l="0" t="0" r="0" b="0"/>
            <wp:docPr id="2138216299"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69585" cy="2470150"/>
                    </a:xfrm>
                    <a:prstGeom prst="rect">
                      <a:avLst/>
                    </a:prstGeom>
                    <a:noFill/>
                    <a:ln>
                      <a:noFill/>
                    </a:ln>
                  </pic:spPr>
                </pic:pic>
              </a:graphicData>
            </a:graphic>
          </wp:inline>
        </w:drawing>
      </w:r>
    </w:p>
    <w:p w:rsidR="0034055A" w:rsidRPr="007078D3" w:rsidRDefault="0034055A" w:rsidP="00196DDD">
      <w:pPr>
        <w:rPr>
          <w:color w:val="000000"/>
        </w:rPr>
      </w:pPr>
      <w:r w:rsidRPr="007078D3">
        <w:rPr>
          <w:color w:val="000000"/>
        </w:rPr>
        <w:t>Rys. 1. Krzywe graniczne uziarnienia mieszanki kruszywa niezwiązanego 0/31,5 mm do warstw podbudowy pomocniczej</w:t>
      </w:r>
    </w:p>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noProof/>
          <w:color w:val="000000"/>
          <w:lang w:eastAsia="pl-PL"/>
        </w:rPr>
        <w:lastRenderedPageBreak/>
        <w:drawing>
          <wp:inline distT="0" distB="0" distL="0" distR="0">
            <wp:extent cx="5581650" cy="2482215"/>
            <wp:effectExtent l="0" t="0" r="0" b="0"/>
            <wp:docPr id="1350155758"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2482215"/>
                    </a:xfrm>
                    <a:prstGeom prst="rect">
                      <a:avLst/>
                    </a:prstGeom>
                    <a:noFill/>
                    <a:ln>
                      <a:noFill/>
                    </a:ln>
                  </pic:spPr>
                </pic:pic>
              </a:graphicData>
            </a:graphic>
          </wp:inline>
        </w:drawing>
      </w:r>
    </w:p>
    <w:p w:rsidR="0034055A" w:rsidRPr="007078D3" w:rsidRDefault="0034055A" w:rsidP="00196DDD">
      <w:pPr>
        <w:rPr>
          <w:color w:val="000000"/>
        </w:rPr>
      </w:pPr>
      <w:r w:rsidRPr="007078D3">
        <w:rPr>
          <w:color w:val="000000"/>
        </w:rPr>
        <w:t>Rys. 2. Krzywe graniczne uziarnienia mieszanki kruszywa niezwiązanego 0/45 mm do warstw podbudowy pomocniczej</w:t>
      </w:r>
    </w:p>
    <w:p w:rsidR="0034055A" w:rsidRPr="007078D3" w:rsidRDefault="0034055A" w:rsidP="00196DDD">
      <w:pPr>
        <w:rPr>
          <w:color w:val="000000"/>
        </w:rPr>
      </w:pPr>
      <w:r w:rsidRPr="007078D3">
        <w:rPr>
          <w:color w:val="000000"/>
        </w:rPr>
        <w:t> </w:t>
      </w:r>
    </w:p>
    <w:p w:rsidR="0034055A" w:rsidRPr="007078D3" w:rsidRDefault="0034055A" w:rsidP="00196DDD">
      <w:pPr>
        <w:rPr>
          <w:caps/>
          <w:color w:val="000000"/>
        </w:rPr>
      </w:pPr>
      <w:r w:rsidRPr="007078D3">
        <w:rPr>
          <w:caps/>
          <w:noProof/>
          <w:color w:val="000000"/>
          <w:lang w:eastAsia="pl-PL"/>
        </w:rPr>
        <w:drawing>
          <wp:inline distT="0" distB="0" distL="0" distR="0">
            <wp:extent cx="5557520" cy="2446020"/>
            <wp:effectExtent l="0" t="0" r="0" b="0"/>
            <wp:docPr id="175373632"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57520" cy="2446020"/>
                    </a:xfrm>
                    <a:prstGeom prst="rect">
                      <a:avLst/>
                    </a:prstGeom>
                    <a:noFill/>
                    <a:ln>
                      <a:noFill/>
                    </a:ln>
                  </pic:spPr>
                </pic:pic>
              </a:graphicData>
            </a:graphic>
          </wp:inline>
        </w:drawing>
      </w:r>
    </w:p>
    <w:p w:rsidR="0034055A" w:rsidRPr="007078D3" w:rsidRDefault="0034055A" w:rsidP="00196DDD">
      <w:pPr>
        <w:rPr>
          <w:color w:val="000000"/>
        </w:rPr>
      </w:pPr>
      <w:r w:rsidRPr="007078D3">
        <w:rPr>
          <w:color w:val="000000"/>
        </w:rPr>
        <w:t>Rys. 3. Krzywe graniczne uziarnienia mieszanki kruszywa niezwiązanego 0/63 mm do warstw podbudowy pomocniczej</w:t>
      </w:r>
    </w:p>
    <w:p w:rsidR="0034055A" w:rsidRPr="007078D3" w:rsidRDefault="0034055A" w:rsidP="00196DDD">
      <w:pPr>
        <w:rPr>
          <w:color w:val="000000"/>
        </w:rPr>
      </w:pPr>
      <w:r w:rsidRPr="007078D3">
        <w:rPr>
          <w:color w:val="000000"/>
        </w:rPr>
        <w:t>            Oprócz wymagań podanych na rysunkach od 1 do 3, wymaga się aby 90% uziarnień mieszanek zbadanych w ramach ZKP w okresie 6 miesięcy spełniało wymagania kategorii podanych w tabelach 2 i 3, aby zapewnić jednorodność i ciągłość uziarnienia mieszanek.</w:t>
      </w:r>
    </w:p>
    <w:p w:rsidR="0034055A" w:rsidRPr="007078D3" w:rsidRDefault="0034055A" w:rsidP="00196DDD">
      <w:pPr>
        <w:rPr>
          <w:color w:val="000000"/>
        </w:rPr>
      </w:pPr>
      <w:r w:rsidRPr="007078D3">
        <w:rPr>
          <w:color w:val="000000"/>
        </w:rPr>
        <w:t>Tabela 2. Wymagania wobec jednorodności uziarnienia na sitach kontrolnych – porównanie z deklarowaną przez producenta wartością (S). Wymagania dotyczą produkowanej i dostarczanej mieszanki. Jeśli mieszanka zawiera nadmierną zawartość ziaren słabych, wymaganie dotyczy deklarowanego przez producenta uziarnienia mieszanki po pięciokrotnym zagęszczeniu metodą Proctora</w:t>
      </w:r>
    </w:p>
    <w:tbl>
      <w:tblPr>
        <w:tblW w:w="0" w:type="auto"/>
        <w:shd w:val="clear" w:color="auto" w:fill="EAEAEA"/>
        <w:tblCellMar>
          <w:left w:w="0" w:type="dxa"/>
          <w:right w:w="0" w:type="dxa"/>
        </w:tblCellMar>
        <w:tblLook w:val="04A0"/>
      </w:tblPr>
      <w:tblGrid>
        <w:gridCol w:w="1463"/>
        <w:gridCol w:w="754"/>
        <w:gridCol w:w="754"/>
        <w:gridCol w:w="754"/>
        <w:gridCol w:w="754"/>
        <w:gridCol w:w="754"/>
        <w:gridCol w:w="754"/>
        <w:gridCol w:w="754"/>
        <w:gridCol w:w="754"/>
        <w:gridCol w:w="754"/>
        <w:gridCol w:w="754"/>
      </w:tblGrid>
      <w:tr w:rsidR="0034055A" w:rsidRPr="007078D3" w:rsidTr="0034055A">
        <w:tc>
          <w:tcPr>
            <w:tcW w:w="1463" w:type="dxa"/>
            <w:vMerge w:val="restart"/>
            <w:tcBorders>
              <w:top w:val="single" w:sz="8" w:space="0" w:color="auto"/>
              <w:left w:val="single" w:sz="8" w:space="0" w:color="auto"/>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Mieszanka niezwiązana, mm</w:t>
            </w:r>
          </w:p>
        </w:tc>
        <w:tc>
          <w:tcPr>
            <w:tcW w:w="7540" w:type="dxa"/>
            <w:gridSpan w:val="10"/>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Porównanie z deklarowaną przez producenta wartością (S)</w:t>
            </w:r>
          </w:p>
          <w:p w:rsidR="0034055A" w:rsidRPr="007078D3" w:rsidRDefault="0034055A" w:rsidP="00196DDD">
            <w:r w:rsidRPr="007078D3">
              <w:t>Tolerancje przesiewu przez sito (mm), % (m/m)</w:t>
            </w:r>
          </w:p>
        </w:tc>
      </w:tr>
      <w:tr w:rsidR="0034055A" w:rsidRPr="007078D3" w:rsidTr="0034055A">
        <w:tc>
          <w:tcPr>
            <w:tcW w:w="0" w:type="auto"/>
            <w:vMerge/>
            <w:tcBorders>
              <w:top w:val="single" w:sz="8" w:space="0" w:color="auto"/>
              <w:left w:val="single" w:sz="8" w:space="0" w:color="auto"/>
              <w:bottom w:val="double" w:sz="4" w:space="0" w:color="auto"/>
              <w:right w:val="single" w:sz="8" w:space="0" w:color="auto"/>
            </w:tcBorders>
            <w:shd w:val="clear" w:color="auto" w:fill="EAEAEA"/>
            <w:vAlign w:val="center"/>
            <w:hideMark/>
          </w:tcPr>
          <w:p w:rsidR="0034055A" w:rsidRPr="007078D3" w:rsidRDefault="0034055A" w:rsidP="00196DDD"/>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0,5</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5,6</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8</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11,2</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16</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22,4</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31,5</w:t>
            </w:r>
          </w:p>
        </w:tc>
      </w:tr>
      <w:tr w:rsidR="0034055A" w:rsidRPr="007078D3" w:rsidTr="0034055A">
        <w:tc>
          <w:tcPr>
            <w:tcW w:w="146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0/31,5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7</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w:t>
            </w:r>
          </w:p>
        </w:tc>
      </w:tr>
      <w:tr w:rsidR="0034055A" w:rsidRPr="007078D3" w:rsidTr="0034055A">
        <w:tc>
          <w:tcPr>
            <w:tcW w:w="146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0/45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7</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w:t>
            </w:r>
          </w:p>
        </w:tc>
      </w:tr>
      <w:tr w:rsidR="0034055A" w:rsidRPr="007078D3" w:rsidTr="0034055A">
        <w:tc>
          <w:tcPr>
            <w:tcW w:w="146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0/63</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7</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r>
    </w:tbl>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color w:val="000000"/>
        </w:rPr>
        <w:t>            Krzywa uziarnienia (S) deklarowana przez producenta mieszanek powinna nie tylko mieścić się w odpowiednich krzywych uziarnienia (rys. 1÷3) ograniczonych przerywanymi liniami (SDV) z uwzględnieniem dopuszczalnych tolerancji podanych w tabeli 2, ale powinna spełniać także wymagania ciągłości uziarnienia zawarte w tabeli 3.</w:t>
      </w:r>
    </w:p>
    <w:p w:rsidR="0034055A" w:rsidRPr="007078D3" w:rsidRDefault="0034055A" w:rsidP="00196DDD">
      <w:pPr>
        <w:rPr>
          <w:color w:val="000000"/>
        </w:rPr>
      </w:pPr>
      <w:r w:rsidRPr="007078D3">
        <w:rPr>
          <w:color w:val="000000"/>
        </w:rPr>
        <w:t>Tabela 3. Wymagania wobec ciągłości uziarnienia na sitach kontrolnych – różnice w przesiewach podczas badań kontrolnych produkowanych mieszanek</w:t>
      </w:r>
    </w:p>
    <w:tbl>
      <w:tblPr>
        <w:tblW w:w="8988" w:type="dxa"/>
        <w:shd w:val="clear" w:color="auto" w:fill="EAEAEA"/>
        <w:tblCellMar>
          <w:left w:w="0" w:type="dxa"/>
          <w:right w:w="0" w:type="dxa"/>
        </w:tblCellMar>
        <w:tblLook w:val="04A0"/>
      </w:tblPr>
      <w:tblGrid>
        <w:gridCol w:w="673"/>
        <w:gridCol w:w="526"/>
        <w:gridCol w:w="526"/>
        <w:gridCol w:w="526"/>
        <w:gridCol w:w="526"/>
        <w:gridCol w:w="526"/>
        <w:gridCol w:w="526"/>
        <w:gridCol w:w="526"/>
        <w:gridCol w:w="526"/>
        <w:gridCol w:w="526"/>
        <w:gridCol w:w="526"/>
        <w:gridCol w:w="526"/>
        <w:gridCol w:w="526"/>
        <w:gridCol w:w="526"/>
        <w:gridCol w:w="526"/>
        <w:gridCol w:w="526"/>
        <w:gridCol w:w="526"/>
      </w:tblGrid>
      <w:tr w:rsidR="0034055A" w:rsidRPr="007078D3" w:rsidTr="0034055A">
        <w:tc>
          <w:tcPr>
            <w:tcW w:w="703" w:type="dxa"/>
            <w:vMerge w:val="restart"/>
            <w:tcBorders>
              <w:top w:val="single" w:sz="8" w:space="0" w:color="auto"/>
              <w:left w:val="single" w:sz="8" w:space="0" w:color="auto"/>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Mie-szan-ka, mm</w:t>
            </w:r>
          </w:p>
        </w:tc>
        <w:tc>
          <w:tcPr>
            <w:tcW w:w="8285" w:type="dxa"/>
            <w:gridSpan w:val="16"/>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Minimalna i maksymalna zawartość frakcji w mieszankach;</w:t>
            </w:r>
          </w:p>
          <w:p w:rsidR="0034055A" w:rsidRPr="007078D3" w:rsidRDefault="0034055A" w:rsidP="00196DDD">
            <w:r w:rsidRPr="007078D3">
              <w:t>[różnice przesiewów w % (m/m) przez sito (mm)]</w:t>
            </w:r>
          </w:p>
        </w:tc>
      </w:tr>
      <w:tr w:rsidR="00EF535A" w:rsidRPr="007078D3" w:rsidTr="0034055A">
        <w:tc>
          <w:tcPr>
            <w:tcW w:w="0" w:type="auto"/>
            <w:vMerge/>
            <w:tcBorders>
              <w:top w:val="single" w:sz="8" w:space="0" w:color="auto"/>
              <w:left w:val="single" w:sz="8" w:space="0" w:color="auto"/>
              <w:bottom w:val="double" w:sz="4" w:space="0" w:color="auto"/>
              <w:right w:val="single" w:sz="8" w:space="0" w:color="auto"/>
            </w:tcBorders>
            <w:shd w:val="clear" w:color="auto" w:fill="EAEAEA"/>
            <w:vAlign w:val="center"/>
            <w:hideMark/>
          </w:tcPr>
          <w:p w:rsidR="0034055A" w:rsidRPr="007078D3" w:rsidRDefault="0034055A" w:rsidP="00196DDD"/>
        </w:tc>
        <w:tc>
          <w:tcPr>
            <w:tcW w:w="997"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1/2</w:t>
            </w:r>
          </w:p>
        </w:tc>
        <w:tc>
          <w:tcPr>
            <w:tcW w:w="1030"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2/4</w:t>
            </w:r>
          </w:p>
        </w:tc>
        <w:tc>
          <w:tcPr>
            <w:tcW w:w="997"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2/5,6</w:t>
            </w:r>
          </w:p>
        </w:tc>
        <w:tc>
          <w:tcPr>
            <w:tcW w:w="997"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4/8</w:t>
            </w:r>
          </w:p>
        </w:tc>
        <w:tc>
          <w:tcPr>
            <w:tcW w:w="1071"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5,6/11,2</w:t>
            </w:r>
          </w:p>
        </w:tc>
        <w:tc>
          <w:tcPr>
            <w:tcW w:w="1071"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8/16</w:t>
            </w:r>
          </w:p>
        </w:tc>
        <w:tc>
          <w:tcPr>
            <w:tcW w:w="1123"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11,2/22,4</w:t>
            </w:r>
          </w:p>
        </w:tc>
        <w:tc>
          <w:tcPr>
            <w:tcW w:w="999"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16/31,5</w:t>
            </w:r>
          </w:p>
        </w:tc>
      </w:tr>
      <w:tr w:rsidR="0034055A" w:rsidRPr="007078D3" w:rsidTr="0034055A">
        <w:tc>
          <w:tcPr>
            <w:tcW w:w="0" w:type="auto"/>
            <w:vMerge/>
            <w:tcBorders>
              <w:top w:val="single" w:sz="8" w:space="0" w:color="auto"/>
              <w:left w:val="single" w:sz="8" w:space="0" w:color="auto"/>
              <w:bottom w:val="double" w:sz="4" w:space="0" w:color="auto"/>
              <w:right w:val="single" w:sz="8" w:space="0" w:color="auto"/>
            </w:tcBorders>
            <w:shd w:val="clear" w:color="auto" w:fill="EAEAEA"/>
            <w:vAlign w:val="center"/>
            <w:hideMark/>
          </w:tcPr>
          <w:p w:rsidR="0034055A" w:rsidRPr="007078D3" w:rsidRDefault="0034055A" w:rsidP="00196DDD"/>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492"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21"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509"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492"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492"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566"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566"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4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578"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7"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492"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r>
      <w:tr w:rsidR="0034055A" w:rsidRPr="007078D3" w:rsidTr="0034055A">
        <w:tc>
          <w:tcPr>
            <w:tcW w:w="70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0/31,5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15</w:t>
            </w:r>
          </w:p>
        </w:tc>
        <w:tc>
          <w:tcPr>
            <w:tcW w:w="52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7</w:t>
            </w:r>
          </w:p>
        </w:tc>
        <w:tc>
          <w:tcPr>
            <w:tcW w:w="5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20</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4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78"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r>
      <w:tr w:rsidR="0034055A" w:rsidRPr="007078D3" w:rsidTr="0034055A">
        <w:tc>
          <w:tcPr>
            <w:tcW w:w="70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0/45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15</w:t>
            </w:r>
          </w:p>
        </w:tc>
        <w:tc>
          <w:tcPr>
            <w:tcW w:w="52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7</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20</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4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578"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r>
      <w:tr w:rsidR="0034055A" w:rsidRPr="007078D3" w:rsidTr="0034055A">
        <w:tc>
          <w:tcPr>
            <w:tcW w:w="70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lastRenderedPageBreak/>
              <w:t>0/63</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2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w:t>
            </w:r>
          </w:p>
        </w:tc>
        <w:tc>
          <w:tcPr>
            <w:tcW w:w="5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7</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20</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4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78"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r>
    </w:tbl>
    <w:p w:rsidR="0034055A" w:rsidRPr="007078D3" w:rsidRDefault="0034055A" w:rsidP="00196DDD">
      <w:pPr>
        <w:rPr>
          <w:color w:val="000000"/>
        </w:rPr>
      </w:pPr>
      <w:r w:rsidRPr="007078D3">
        <w:rPr>
          <w:color w:val="000000"/>
        </w:rPr>
        <w:t>            Mieszanki kruszyw stosowane do warstw podbudów pomocniczych powinny spełniać wymagania wg tabeli 4. Wymagania wobec mieszanek przeznaczonych do warstw podbudowy pomocniczej odnośnie wrażliwości na mróz (wskaźnik SE), dotyczą badania materiału po pięciokrotnym zagęszczeniu metoda Proctora według PN-EN 13286-2 [21]. Nie stawia się wymagań wobec wodoprzepuszczalności zagęszczonej mieszanki niezwiązanej do podbudowy pomocniczej, o ile szczegółowe rozwiązania konstrukcyjne nie przewidują tego.</w:t>
      </w:r>
    </w:p>
    <w:p w:rsidR="0034055A" w:rsidRPr="007078D3" w:rsidRDefault="0034055A" w:rsidP="00196DDD">
      <w:pPr>
        <w:rPr>
          <w:color w:val="000000"/>
        </w:rPr>
      </w:pPr>
      <w:r w:rsidRPr="007078D3">
        <w:rPr>
          <w:color w:val="000000"/>
        </w:rPr>
        <w:t>            Zawartość wody w mieszankach kruszyw i gruntach powinna odpowiadać wymaganej zawartości wody w trakcie wbudowywania i zagęszczania określonej według  PN-EN 13286-2 [21], w granicach podanych w tabeli 4.</w:t>
      </w:r>
    </w:p>
    <w:p w:rsidR="0034055A" w:rsidRPr="007078D3" w:rsidRDefault="0034055A" w:rsidP="00196DDD">
      <w:pPr>
        <w:rPr>
          <w:color w:val="000000"/>
        </w:rPr>
      </w:pPr>
      <w:r w:rsidRPr="007078D3">
        <w:rPr>
          <w:color w:val="000000"/>
        </w:rPr>
        <w:t>            Badanie CBR mieszanek do podbudowy pomocniczej należy wykonać na mieszance zagęszczonej do wskaźnika zagęszczenia Is = 1,0 i po 96 godzinach przechowywania jej w wodzie. CBR należy oznaczyć wg PN-EN 13286-47 [22], a wymaganie przyjąć wg tabeli 4.</w:t>
      </w:r>
    </w:p>
    <w:p w:rsidR="0034055A" w:rsidRPr="007078D3" w:rsidRDefault="0034055A" w:rsidP="00196DDD">
      <w:pPr>
        <w:rPr>
          <w:color w:val="000000"/>
        </w:rPr>
      </w:pPr>
      <w:r w:rsidRPr="007078D3">
        <w:rPr>
          <w:color w:val="000000"/>
        </w:rPr>
        <w:t>Istotne cechy środowiskowe</w:t>
      </w:r>
    </w:p>
    <w:p w:rsidR="0034055A" w:rsidRPr="007078D3" w:rsidRDefault="0034055A" w:rsidP="00196DDD">
      <w:pPr>
        <w:rPr>
          <w:color w:val="000000"/>
        </w:rPr>
      </w:pPr>
      <w:r w:rsidRPr="007078D3">
        <w:rPr>
          <w:color w:val="000000"/>
        </w:rPr>
        <w:t>            Zgodnie z dotychczasowymi doświadczeniami, dotyczącymi stosowania w drogownictwie mieszanek z kruszyw naturalnych oraz gruntów, można je zaliczyć do wyrobów budowlanych, które nie oddziaływają szkodliwie na środowisko. Większość substancji niebezpiecznych określonych w dyrektywie Rady 76/769/EWG zazwyczaj nie występuje w takich mieszankach. W przypadku stosowania w mieszankach kruszyw w stosunku do których brak jest jeszcze ustalonych zasad, np. kruszywa z recyklingu i kruszywa z pewnych odpadów przemysłowych, zaleca się zachowanie ostrożności. Przydatność takich kruszyw, jeśli jest to wymagane, może być oceniona zgodnie z wymaganiami w miejscu ich stosowania. W przypadkach wątpliwych należy uzyskać ocenę ekologiczną takiej mieszanki przez właściwe jednostki.</w:t>
      </w:r>
    </w:p>
    <w:p w:rsidR="0034055A" w:rsidRPr="007078D3" w:rsidRDefault="0034055A" w:rsidP="00196DDD">
      <w:pPr>
        <w:rPr>
          <w:color w:val="000000"/>
        </w:rPr>
      </w:pPr>
      <w:r w:rsidRPr="007078D3">
        <w:rPr>
          <w:b/>
          <w:bCs/>
          <w:color w:val="000000"/>
        </w:rPr>
        <w:t>Wymagania wobec mieszanek</w:t>
      </w:r>
    </w:p>
    <w:p w:rsidR="0034055A" w:rsidRPr="007078D3" w:rsidRDefault="0034055A" w:rsidP="00196DDD">
      <w:pPr>
        <w:rPr>
          <w:color w:val="000000"/>
        </w:rPr>
      </w:pPr>
      <w:r w:rsidRPr="007078D3">
        <w:rPr>
          <w:color w:val="000000"/>
        </w:rPr>
        <w:t>W tabeli 4 przedstawia się zbiorcze zestawienie wymagań wobec mieszanek kruszywa niezwiązanego w warstwie podbudowy pomocniczej.</w:t>
      </w:r>
    </w:p>
    <w:p w:rsidR="0034055A" w:rsidRPr="007078D3" w:rsidRDefault="0034055A" w:rsidP="00196DDD">
      <w:pPr>
        <w:rPr>
          <w:color w:val="000000"/>
        </w:rPr>
      </w:pPr>
      <w:r w:rsidRPr="007078D3">
        <w:rPr>
          <w:color w:val="000000"/>
        </w:rPr>
        <w:t>Tabela 4. Wymagania wobec  mieszanek kruszywa niezwiązanego w warstwie podbudowy pomocniczej</w:t>
      </w:r>
    </w:p>
    <w:p w:rsidR="0034055A" w:rsidRPr="007078D3" w:rsidRDefault="0034055A" w:rsidP="00196DDD">
      <w:pPr>
        <w:rPr>
          <w:color w:val="000000"/>
        </w:rPr>
      </w:pPr>
      <w:bookmarkStart w:id="975" w:name="_Toc160536734"/>
      <w:r w:rsidRPr="007078D3">
        <w:rPr>
          <w:color w:val="000000"/>
        </w:rPr>
        <w:t>Skróty użyte w tabeli: Kat. – kategoria właściwości,   wsk. – wskaźnik, wsp. – współczynnik</w:t>
      </w:r>
      <w:bookmarkEnd w:id="975"/>
    </w:p>
    <w:p w:rsidR="0034055A" w:rsidRPr="007078D3" w:rsidRDefault="0034055A" w:rsidP="00196DDD">
      <w:pPr>
        <w:rPr>
          <w:color w:val="000000"/>
        </w:rPr>
      </w:pPr>
      <w:r w:rsidRPr="007078D3">
        <w:rPr>
          <w:color w:val="000000"/>
        </w:rPr>
        <w:t> </w:t>
      </w:r>
    </w:p>
    <w:tbl>
      <w:tblPr>
        <w:tblW w:w="0" w:type="auto"/>
        <w:shd w:val="clear" w:color="auto" w:fill="EAEAEA"/>
        <w:tblCellMar>
          <w:left w:w="0" w:type="dxa"/>
          <w:right w:w="0" w:type="dxa"/>
        </w:tblCellMar>
        <w:tblLook w:val="04A0"/>
      </w:tblPr>
      <w:tblGrid>
        <w:gridCol w:w="3085"/>
        <w:gridCol w:w="709"/>
        <w:gridCol w:w="5103"/>
      </w:tblGrid>
      <w:tr w:rsidR="0034055A" w:rsidRPr="00EF535A" w:rsidTr="0034055A">
        <w:tc>
          <w:tcPr>
            <w:tcW w:w="3085" w:type="dxa"/>
            <w:vMerge w:val="restart"/>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sz w:val="18"/>
                <w:szCs w:val="18"/>
              </w:rPr>
            </w:pPr>
            <w:bookmarkStart w:id="976" w:name="_Toc160536735"/>
            <w:r w:rsidRPr="00EF535A">
              <w:rPr>
                <w:bCs/>
                <w:sz w:val="18"/>
                <w:szCs w:val="18"/>
              </w:rPr>
              <w:t>Właściwość</w:t>
            </w:r>
            <w:bookmarkEnd w:id="976"/>
          </w:p>
          <w:p w:rsidR="0034055A" w:rsidRPr="00EF535A" w:rsidRDefault="0034055A" w:rsidP="00196DDD">
            <w:pPr>
              <w:rPr>
                <w:bCs/>
                <w:sz w:val="18"/>
                <w:szCs w:val="18"/>
              </w:rPr>
            </w:pPr>
            <w:bookmarkStart w:id="977" w:name="_Toc160536736"/>
            <w:r w:rsidRPr="00EF535A">
              <w:rPr>
                <w:bCs/>
                <w:sz w:val="18"/>
                <w:szCs w:val="18"/>
              </w:rPr>
              <w:t>kruszywa</w:t>
            </w:r>
            <w:bookmarkEnd w:id="977"/>
          </w:p>
        </w:tc>
        <w:tc>
          <w:tcPr>
            <w:tcW w:w="5812" w:type="dxa"/>
            <w:gridSpan w:val="2"/>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78" w:name="_Toc160536737"/>
            <w:r w:rsidRPr="00EF535A">
              <w:rPr>
                <w:bCs/>
                <w:sz w:val="18"/>
                <w:szCs w:val="18"/>
              </w:rPr>
              <w:t>Wymagania wobec  mieszanek kruszywa niezwiązanego w warstwie podbudowy pomocniczej pod nawierzchnią drogi obciążonej ruchem  kategorii KR1 ÷ KR7</w:t>
            </w:r>
            <w:bookmarkEnd w:id="978"/>
          </w:p>
        </w:tc>
      </w:tr>
      <w:tr w:rsidR="0034055A" w:rsidRPr="00EF535A" w:rsidTr="0034055A">
        <w:trPr>
          <w:trHeight w:val="476"/>
        </w:trPr>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bCs/>
                <w:sz w:val="18"/>
                <w:szCs w:val="18"/>
              </w:rPr>
            </w:pPr>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sz w:val="18"/>
                <w:szCs w:val="18"/>
              </w:rPr>
            </w:pPr>
            <w:bookmarkStart w:id="979" w:name="_Toc160536738"/>
            <w:r w:rsidRPr="00EF535A">
              <w:rPr>
                <w:bCs/>
                <w:sz w:val="18"/>
                <w:szCs w:val="18"/>
              </w:rPr>
              <w:t>Punkt</w:t>
            </w:r>
            <w:bookmarkEnd w:id="979"/>
          </w:p>
          <w:p w:rsidR="0034055A" w:rsidRPr="00EF535A" w:rsidRDefault="0034055A" w:rsidP="00196DDD">
            <w:pPr>
              <w:rPr>
                <w:bCs/>
                <w:sz w:val="18"/>
                <w:szCs w:val="18"/>
              </w:rPr>
            </w:pPr>
            <w:bookmarkStart w:id="980" w:name="_Toc160536739"/>
            <w:r w:rsidRPr="00EF535A">
              <w:rPr>
                <w:bCs/>
                <w:sz w:val="18"/>
                <w:szCs w:val="18"/>
              </w:rPr>
              <w:t>PN-EN</w:t>
            </w:r>
            <w:bookmarkEnd w:id="980"/>
          </w:p>
          <w:p w:rsidR="0034055A" w:rsidRPr="00EF535A" w:rsidRDefault="0034055A" w:rsidP="00196DDD">
            <w:pPr>
              <w:rPr>
                <w:bCs/>
                <w:sz w:val="18"/>
                <w:szCs w:val="18"/>
              </w:rPr>
            </w:pPr>
            <w:bookmarkStart w:id="981" w:name="_Toc160536740"/>
            <w:r w:rsidRPr="00EF535A">
              <w:rPr>
                <w:bCs/>
                <w:sz w:val="18"/>
                <w:szCs w:val="18"/>
              </w:rPr>
              <w:t>13285</w:t>
            </w:r>
            <w:bookmarkEnd w:id="981"/>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sz w:val="18"/>
                <w:szCs w:val="18"/>
              </w:rPr>
            </w:pPr>
            <w:bookmarkStart w:id="982" w:name="_Toc160536741"/>
            <w:r w:rsidRPr="00EF535A">
              <w:rPr>
                <w:bCs/>
                <w:sz w:val="18"/>
                <w:szCs w:val="18"/>
              </w:rPr>
              <w:t>Wymagania</w:t>
            </w:r>
            <w:bookmarkEnd w:id="982"/>
          </w:p>
          <w:p w:rsidR="0034055A" w:rsidRPr="00EF535A" w:rsidRDefault="0034055A" w:rsidP="00196DDD">
            <w:pPr>
              <w:rPr>
                <w:bCs/>
                <w:sz w:val="18"/>
                <w:szCs w:val="18"/>
              </w:rPr>
            </w:pPr>
            <w:r w:rsidRPr="00EF535A">
              <w:rPr>
                <w:bCs/>
                <w:sz w:val="18"/>
                <w:szCs w:val="18"/>
              </w:rPr>
              <w:t> </w:t>
            </w:r>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83" w:name="_Toc160536742"/>
            <w:r w:rsidRPr="00EF535A">
              <w:rPr>
                <w:bCs/>
                <w:sz w:val="18"/>
                <w:szCs w:val="18"/>
              </w:rPr>
              <w:t>Uziarnienie mieszanek</w:t>
            </w:r>
            <w:bookmarkEnd w:id="983"/>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84" w:name="_Toc160536743"/>
            <w:r w:rsidRPr="00EF535A">
              <w:rPr>
                <w:bCs/>
                <w:sz w:val="18"/>
                <w:szCs w:val="18"/>
              </w:rPr>
              <w:t>4.3.1</w:t>
            </w:r>
            <w:bookmarkEnd w:id="984"/>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bookmarkStart w:id="985" w:name="_Toc160536744"/>
            <w:r w:rsidRPr="00EF535A">
              <w:rPr>
                <w:bCs/>
                <w:sz w:val="18"/>
                <w:szCs w:val="18"/>
              </w:rPr>
              <w:t>0/31,5; 0/45; 0/63 mm</w:t>
            </w:r>
            <w:bookmarkEnd w:id="985"/>
          </w:p>
        </w:tc>
      </w:tr>
      <w:tr w:rsidR="0034055A" w:rsidRPr="00EF535A" w:rsidTr="0034055A">
        <w:trPr>
          <w:trHeight w:val="433"/>
        </w:trPr>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86" w:name="_Toc160536745"/>
            <w:r w:rsidRPr="00EF535A">
              <w:rPr>
                <w:bCs/>
                <w:sz w:val="18"/>
                <w:szCs w:val="18"/>
              </w:rPr>
              <w:t>Maksymalna zawartość pyłów:</w:t>
            </w:r>
            <w:bookmarkEnd w:id="986"/>
          </w:p>
          <w:p w:rsidR="0034055A" w:rsidRPr="00EF535A" w:rsidRDefault="0034055A" w:rsidP="00196DDD">
            <w:pPr>
              <w:rPr>
                <w:bCs/>
                <w:sz w:val="18"/>
                <w:szCs w:val="18"/>
              </w:rPr>
            </w:pPr>
            <w:bookmarkStart w:id="987" w:name="_Toc160536746"/>
            <w:r w:rsidRPr="00EF535A">
              <w:rPr>
                <w:bCs/>
                <w:sz w:val="18"/>
                <w:szCs w:val="18"/>
              </w:rPr>
              <w:t>Kat.UF</w:t>
            </w:r>
            <w:bookmarkEnd w:id="987"/>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88" w:name="_Toc160536747"/>
            <w:r w:rsidRPr="00EF535A">
              <w:rPr>
                <w:bCs/>
                <w:sz w:val="18"/>
                <w:szCs w:val="18"/>
              </w:rPr>
              <w:t>4.3.2</w:t>
            </w:r>
            <w:bookmarkEnd w:id="988"/>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89" w:name="_Toc160536748"/>
            <w:r w:rsidRPr="00EF535A">
              <w:rPr>
                <w:bCs/>
                <w:sz w:val="18"/>
                <w:szCs w:val="18"/>
              </w:rPr>
              <w:t>Kat. UF</w:t>
            </w:r>
            <w:r w:rsidRPr="00EF535A">
              <w:rPr>
                <w:bCs/>
                <w:sz w:val="18"/>
                <w:szCs w:val="18"/>
                <w:vertAlign w:val="subscript"/>
              </w:rPr>
              <w:t>12</w:t>
            </w:r>
            <w:r w:rsidRPr="00EF535A">
              <w:rPr>
                <w:bCs/>
                <w:sz w:val="18"/>
                <w:szCs w:val="18"/>
              </w:rPr>
              <w:t>  (tj. masa frakcji przechodzącej przez sito 0,063 mm powinna być ≤ 12%)</w:t>
            </w:r>
            <w:bookmarkEnd w:id="989"/>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90" w:name="_Toc160536749"/>
            <w:r w:rsidRPr="00EF535A">
              <w:rPr>
                <w:bCs/>
                <w:sz w:val="18"/>
                <w:szCs w:val="18"/>
              </w:rPr>
              <w:t>Minimalna zawartość pyłów:</w:t>
            </w:r>
            <w:bookmarkEnd w:id="990"/>
          </w:p>
          <w:p w:rsidR="0034055A" w:rsidRPr="00EF535A" w:rsidRDefault="0034055A" w:rsidP="00196DDD">
            <w:pPr>
              <w:rPr>
                <w:bCs/>
                <w:sz w:val="18"/>
                <w:szCs w:val="18"/>
              </w:rPr>
            </w:pPr>
            <w:bookmarkStart w:id="991" w:name="_Toc160536750"/>
            <w:r w:rsidRPr="00EF535A">
              <w:rPr>
                <w:bCs/>
                <w:sz w:val="18"/>
                <w:szCs w:val="18"/>
              </w:rPr>
              <w:t>Kat. LF</w:t>
            </w:r>
            <w:bookmarkEnd w:id="991"/>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92" w:name="_Toc160536751"/>
            <w:r w:rsidRPr="00EF535A">
              <w:rPr>
                <w:bCs/>
                <w:sz w:val="18"/>
                <w:szCs w:val="18"/>
              </w:rPr>
              <w:t>4.3.2</w:t>
            </w:r>
            <w:bookmarkEnd w:id="992"/>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93" w:name="_Toc160536752"/>
            <w:r w:rsidRPr="00EF535A">
              <w:rPr>
                <w:bCs/>
                <w:sz w:val="18"/>
                <w:szCs w:val="18"/>
              </w:rPr>
              <w:t>Kat. LF</w:t>
            </w:r>
            <w:r w:rsidRPr="00EF535A">
              <w:rPr>
                <w:bCs/>
                <w:sz w:val="18"/>
                <w:szCs w:val="18"/>
                <w:vertAlign w:val="subscript"/>
              </w:rPr>
              <w:t>NR  </w:t>
            </w:r>
            <w:r w:rsidRPr="00EF535A">
              <w:rPr>
                <w:bCs/>
                <w:sz w:val="18"/>
                <w:szCs w:val="18"/>
              </w:rPr>
              <w:t>(tj. brak wymagań)</w:t>
            </w:r>
            <w:bookmarkEnd w:id="993"/>
          </w:p>
        </w:tc>
      </w:tr>
      <w:tr w:rsidR="0034055A" w:rsidRPr="00EF535A" w:rsidTr="0034055A">
        <w:trPr>
          <w:trHeight w:val="671"/>
        </w:trPr>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94" w:name="_Toc160536753"/>
            <w:r w:rsidRPr="00EF535A">
              <w:rPr>
                <w:bCs/>
                <w:sz w:val="18"/>
                <w:szCs w:val="18"/>
              </w:rPr>
              <w:t>Zawartość nadziarna:</w:t>
            </w:r>
            <w:bookmarkEnd w:id="994"/>
          </w:p>
          <w:p w:rsidR="0034055A" w:rsidRPr="00EF535A" w:rsidRDefault="0034055A" w:rsidP="00196DDD">
            <w:pPr>
              <w:rPr>
                <w:bCs/>
                <w:sz w:val="18"/>
                <w:szCs w:val="18"/>
              </w:rPr>
            </w:pPr>
            <w:bookmarkStart w:id="995" w:name="_Toc160536754"/>
            <w:r w:rsidRPr="00EF535A">
              <w:rPr>
                <w:bCs/>
                <w:sz w:val="18"/>
                <w:szCs w:val="18"/>
              </w:rPr>
              <w:t>Kat.OC</w:t>
            </w:r>
            <w:bookmarkEnd w:id="995"/>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96" w:name="_Toc160536755"/>
            <w:r w:rsidRPr="00EF535A">
              <w:rPr>
                <w:bCs/>
                <w:sz w:val="18"/>
                <w:szCs w:val="18"/>
              </w:rPr>
              <w:t>4.3.3</w:t>
            </w:r>
            <w:bookmarkEnd w:id="996"/>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97" w:name="_Toc160536756"/>
            <w:r w:rsidRPr="00EF535A">
              <w:rPr>
                <w:bCs/>
                <w:sz w:val="18"/>
                <w:szCs w:val="18"/>
              </w:rPr>
              <w:t>Kat. OC</w:t>
            </w:r>
            <w:r w:rsidRPr="00EF535A">
              <w:rPr>
                <w:bCs/>
                <w:sz w:val="18"/>
                <w:szCs w:val="18"/>
                <w:vertAlign w:val="subscript"/>
              </w:rPr>
              <w:t>90</w:t>
            </w:r>
            <w:r w:rsidRPr="00EF535A">
              <w:rPr>
                <w:bCs/>
                <w:sz w:val="18"/>
                <w:szCs w:val="18"/>
              </w:rPr>
              <w:t> (tj. procent przechodzącej masy przez sito 1,4D</w:t>
            </w:r>
            <w:r w:rsidRPr="00EF535A">
              <w:rPr>
                <w:bCs/>
                <w:sz w:val="18"/>
                <w:szCs w:val="18"/>
                <w:vertAlign w:val="superscript"/>
              </w:rPr>
              <w:t>*)</w:t>
            </w:r>
            <w:r w:rsidRPr="00EF535A">
              <w:rPr>
                <w:bCs/>
                <w:sz w:val="18"/>
                <w:szCs w:val="18"/>
              </w:rPr>
              <w:t> powinien wynosić 100%, a przechodzącej przez sito D</w:t>
            </w:r>
            <w:r w:rsidRPr="00EF535A">
              <w:rPr>
                <w:bCs/>
                <w:sz w:val="18"/>
                <w:szCs w:val="18"/>
                <w:vertAlign w:val="superscript"/>
              </w:rPr>
              <w:t>**)</w:t>
            </w:r>
            <w:r w:rsidRPr="00EF535A">
              <w:rPr>
                <w:bCs/>
                <w:sz w:val="18"/>
                <w:szCs w:val="18"/>
              </w:rPr>
              <w:t> powinien wynosić 90-99%)</w:t>
            </w:r>
            <w:bookmarkEnd w:id="997"/>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98" w:name="_Toc160536757"/>
            <w:r w:rsidRPr="00EF535A">
              <w:rPr>
                <w:bCs/>
                <w:sz w:val="18"/>
                <w:szCs w:val="18"/>
              </w:rPr>
              <w:t>Wymagania wobec uziarnienia</w:t>
            </w:r>
            <w:bookmarkEnd w:id="998"/>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999" w:name="_Toc160536758"/>
            <w:r w:rsidRPr="00EF535A">
              <w:rPr>
                <w:bCs/>
                <w:sz w:val="18"/>
                <w:szCs w:val="18"/>
              </w:rPr>
              <w:t>4.4.1</w:t>
            </w:r>
            <w:bookmarkEnd w:id="999"/>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0" w:name="_Toc160536759"/>
            <w:r w:rsidRPr="00EF535A">
              <w:rPr>
                <w:bCs/>
                <w:sz w:val="18"/>
                <w:szCs w:val="18"/>
              </w:rPr>
              <w:t>Krzywe graniczne uziarnienia według rys. 1÷3</w:t>
            </w:r>
            <w:bookmarkEnd w:id="1000"/>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1" w:name="_Toc160536760"/>
            <w:r w:rsidRPr="00EF535A">
              <w:rPr>
                <w:bCs/>
                <w:sz w:val="18"/>
                <w:szCs w:val="18"/>
              </w:rPr>
              <w:t>Wymagania wobec jednorodności uziarnienia poszczególnych partii – porównanie z deklarowaną przez producenta wartością (S)</w:t>
            </w:r>
            <w:bookmarkEnd w:id="1001"/>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2" w:name="_Toc160536761"/>
            <w:r w:rsidRPr="00EF535A">
              <w:rPr>
                <w:bCs/>
                <w:sz w:val="18"/>
                <w:szCs w:val="18"/>
              </w:rPr>
              <w:t>4.4.2</w:t>
            </w:r>
            <w:bookmarkEnd w:id="1002"/>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3" w:name="_Toc160536762"/>
            <w:r w:rsidRPr="00EF535A">
              <w:rPr>
                <w:bCs/>
                <w:sz w:val="18"/>
                <w:szCs w:val="18"/>
              </w:rPr>
              <w:t>Wg tab. 2</w:t>
            </w:r>
            <w:bookmarkEnd w:id="1003"/>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4" w:name="_Toc160536763"/>
            <w:r w:rsidRPr="00EF535A">
              <w:rPr>
                <w:bCs/>
                <w:sz w:val="18"/>
                <w:szCs w:val="18"/>
              </w:rPr>
              <w:t>Wymagania wobec jednorodności uziarnienia na sitach kontrolnych – różnice w przesiewach</w:t>
            </w:r>
            <w:bookmarkEnd w:id="1004"/>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5" w:name="_Toc160536764"/>
            <w:r w:rsidRPr="00EF535A">
              <w:rPr>
                <w:bCs/>
                <w:sz w:val="18"/>
                <w:szCs w:val="18"/>
              </w:rPr>
              <w:t>4.4.2</w:t>
            </w:r>
            <w:bookmarkEnd w:id="1005"/>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6" w:name="_Toc160536765"/>
            <w:r w:rsidRPr="00EF535A">
              <w:rPr>
                <w:bCs/>
                <w:sz w:val="18"/>
                <w:szCs w:val="18"/>
              </w:rPr>
              <w:t>Wg tab. 3</w:t>
            </w:r>
            <w:bookmarkEnd w:id="1006"/>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7" w:name="_Toc160536766"/>
            <w:r w:rsidRPr="00EF535A">
              <w:rPr>
                <w:bCs/>
                <w:sz w:val="18"/>
                <w:szCs w:val="18"/>
              </w:rPr>
              <w:t>Wrażliwość na mróz; wskaźnik piaskowy SE</w:t>
            </w:r>
            <w:r w:rsidRPr="00EF535A">
              <w:rPr>
                <w:bCs/>
                <w:sz w:val="18"/>
                <w:szCs w:val="18"/>
                <w:vertAlign w:val="superscript"/>
              </w:rPr>
              <w:t>***)</w:t>
            </w:r>
            <w:r w:rsidRPr="00EF535A">
              <w:rPr>
                <w:bCs/>
                <w:sz w:val="18"/>
                <w:szCs w:val="18"/>
              </w:rPr>
              <w:t>, co najmniej</w:t>
            </w:r>
            <w:bookmarkEnd w:id="1007"/>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8" w:name="_Toc160536767"/>
            <w:r w:rsidRPr="00EF535A">
              <w:rPr>
                <w:bCs/>
                <w:sz w:val="18"/>
                <w:szCs w:val="18"/>
              </w:rPr>
              <w:t>4.5</w:t>
            </w:r>
            <w:bookmarkEnd w:id="1008"/>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09" w:name="_Toc160536768"/>
            <w:r w:rsidRPr="00EF535A">
              <w:rPr>
                <w:bCs/>
                <w:sz w:val="18"/>
                <w:szCs w:val="18"/>
              </w:rPr>
              <w:t>40</w:t>
            </w:r>
            <w:bookmarkEnd w:id="1009"/>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10" w:name="_Toc160536769"/>
            <w:r w:rsidRPr="00EF535A">
              <w:rPr>
                <w:bCs/>
                <w:sz w:val="18"/>
                <w:szCs w:val="18"/>
              </w:rPr>
              <w:t>Odporność na rozdrabnianie (dotyczy frakcji 10/14 mm odsianej z mieszanki) wg PN-EN 1097-1 [12], kat. nie wyższa niż</w:t>
            </w:r>
            <w:bookmarkEnd w:id="1010"/>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11" w:name="_Toc160536770"/>
            <w:r w:rsidRPr="00EF535A">
              <w:rPr>
                <w:bCs/>
                <w:sz w:val="18"/>
                <w:szCs w:val="18"/>
              </w:rPr>
              <w:t>Kat. LA</w:t>
            </w:r>
            <w:r w:rsidRPr="00EF535A">
              <w:rPr>
                <w:bCs/>
                <w:sz w:val="18"/>
                <w:szCs w:val="18"/>
                <w:vertAlign w:val="subscript"/>
              </w:rPr>
              <w:t>40</w:t>
            </w:r>
            <w:r w:rsidRPr="00EF535A">
              <w:rPr>
                <w:bCs/>
                <w:sz w:val="18"/>
                <w:szCs w:val="18"/>
              </w:rPr>
              <w:t>  (tj. współczynnik Los Angeles ≤ 40)</w:t>
            </w:r>
            <w:bookmarkEnd w:id="1011"/>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12" w:name="_Toc160536771"/>
            <w:r w:rsidRPr="00EF535A">
              <w:rPr>
                <w:bCs/>
                <w:sz w:val="18"/>
                <w:szCs w:val="18"/>
              </w:rPr>
              <w:t>Odporność na ścieranie (dotyczy frakcji 10/14 mm odsianej z mieszanki) wg PN-EN 1097-1 [12], kat. M</w:t>
            </w:r>
            <w:r w:rsidRPr="00EF535A">
              <w:rPr>
                <w:bCs/>
                <w:sz w:val="18"/>
                <w:szCs w:val="18"/>
                <w:vertAlign w:val="subscript"/>
              </w:rPr>
              <w:t>DE</w:t>
            </w:r>
            <w:bookmarkEnd w:id="1012"/>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13" w:name="_Toc160536772"/>
            <w:r w:rsidRPr="00EF535A">
              <w:rPr>
                <w:bCs/>
                <w:sz w:val="18"/>
                <w:szCs w:val="18"/>
              </w:rPr>
              <w:t>Deklarowana</w:t>
            </w:r>
            <w:bookmarkEnd w:id="1013"/>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14" w:name="_Toc160536773"/>
            <w:r w:rsidRPr="00EF535A">
              <w:rPr>
                <w:bCs/>
                <w:sz w:val="18"/>
                <w:szCs w:val="18"/>
              </w:rPr>
              <w:t>Mrozoodporność (dotyczy frakcji kruszywa 8/16 mm odsianej z mieszanki) wg PN-EN 1367-1 [15]</w:t>
            </w:r>
            <w:bookmarkEnd w:id="1014"/>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15" w:name="_Toc160536774"/>
            <w:r w:rsidRPr="00EF535A">
              <w:rPr>
                <w:bCs/>
                <w:sz w:val="18"/>
                <w:szCs w:val="18"/>
              </w:rPr>
              <w:t>Kat. F7  (tj. zamrażanie-rozmrażanie, procent masy ≤ 7)</w:t>
            </w:r>
            <w:bookmarkEnd w:id="1015"/>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16" w:name="_Toc160536775"/>
            <w:r w:rsidRPr="00EF535A">
              <w:rPr>
                <w:bCs/>
                <w:sz w:val="18"/>
                <w:szCs w:val="18"/>
              </w:rPr>
              <w:t>Wartość CBR po zagęszczeniu do wskaźnika zagęszczenia I</w:t>
            </w:r>
            <w:r w:rsidRPr="00EF535A">
              <w:rPr>
                <w:bCs/>
                <w:sz w:val="18"/>
                <w:szCs w:val="18"/>
                <w:vertAlign w:val="subscript"/>
              </w:rPr>
              <w:t>S</w:t>
            </w:r>
            <w:r w:rsidRPr="00EF535A">
              <w:rPr>
                <w:bCs/>
                <w:sz w:val="18"/>
                <w:szCs w:val="18"/>
              </w:rPr>
              <w:t>=1,0 i moczeniu w wodzie 96 h, co najmniej</w:t>
            </w:r>
            <w:bookmarkEnd w:id="1016"/>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bookmarkStart w:id="1017" w:name="_Toc160536776"/>
            <w:r w:rsidRPr="00EF535A">
              <w:rPr>
                <w:bCs/>
                <w:sz w:val="18"/>
                <w:szCs w:val="18"/>
              </w:rPr>
              <w:t>≥ 60</w:t>
            </w:r>
            <w:bookmarkEnd w:id="1017"/>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18" w:name="_Toc160536777"/>
            <w:r w:rsidRPr="00EF535A">
              <w:rPr>
                <w:bCs/>
                <w:sz w:val="18"/>
                <w:szCs w:val="18"/>
              </w:rPr>
              <w:t>Wodoprzepuszczalność mieszanki w warstwie odsączającej po zagęszczeniu metodą Proctora do wskaźnika zagęszczenia I</w:t>
            </w:r>
            <w:r w:rsidRPr="00EF535A">
              <w:rPr>
                <w:bCs/>
                <w:sz w:val="18"/>
                <w:szCs w:val="18"/>
                <w:vertAlign w:val="subscript"/>
              </w:rPr>
              <w:t>S</w:t>
            </w:r>
            <w:r w:rsidRPr="00EF535A">
              <w:rPr>
                <w:bCs/>
                <w:sz w:val="18"/>
                <w:szCs w:val="18"/>
              </w:rPr>
              <w:t>=1,0; wsp. filtracji ”k”, co najmniej cm/s</w:t>
            </w:r>
            <w:bookmarkEnd w:id="1018"/>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19" w:name="_Toc160536778"/>
            <w:r w:rsidRPr="00EF535A">
              <w:rPr>
                <w:bCs/>
                <w:sz w:val="18"/>
                <w:szCs w:val="18"/>
              </w:rPr>
              <w:t>4.5</w:t>
            </w:r>
            <w:bookmarkEnd w:id="1019"/>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20" w:name="_Toc160536779"/>
            <w:r w:rsidRPr="00EF535A">
              <w:rPr>
                <w:bCs/>
                <w:sz w:val="18"/>
                <w:szCs w:val="18"/>
              </w:rPr>
              <w:t>Brak wymagań</w:t>
            </w:r>
            <w:bookmarkEnd w:id="1020"/>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21" w:name="_Toc160536780"/>
            <w:r w:rsidRPr="00EF535A">
              <w:rPr>
                <w:bCs/>
                <w:sz w:val="18"/>
                <w:szCs w:val="18"/>
              </w:rPr>
              <w:t>Zawartość wody w mieszance zagęszczanej; % (m/m) wilgotności optymalnej wg metody Proctora</w:t>
            </w:r>
            <w:bookmarkEnd w:id="1021"/>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22" w:name="_Toc160536781"/>
            <w:r w:rsidRPr="00EF535A">
              <w:rPr>
                <w:bCs/>
                <w:sz w:val="18"/>
                <w:szCs w:val="18"/>
              </w:rPr>
              <w:t>80-100</w:t>
            </w:r>
            <w:bookmarkEnd w:id="1022"/>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23" w:name="_Toc160536782"/>
            <w:r w:rsidRPr="00EF535A">
              <w:rPr>
                <w:bCs/>
                <w:sz w:val="18"/>
                <w:szCs w:val="18"/>
              </w:rPr>
              <w:t>Inne cechy środowiskowe</w:t>
            </w:r>
            <w:bookmarkEnd w:id="1023"/>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24" w:name="_Toc160536783"/>
            <w:r w:rsidRPr="00EF535A">
              <w:rPr>
                <w:bCs/>
                <w:sz w:val="18"/>
                <w:szCs w:val="18"/>
              </w:rPr>
              <w:t>4.5</w:t>
            </w:r>
            <w:bookmarkEnd w:id="1024"/>
          </w:p>
        </w:tc>
        <w:tc>
          <w:tcPr>
            <w:tcW w:w="5103"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025" w:name="_Toc160536784"/>
            <w:r w:rsidRPr="00EF535A">
              <w:rPr>
                <w:bCs/>
                <w:sz w:val="18"/>
                <w:szCs w:val="18"/>
              </w:rPr>
              <w:t xml:space="preserve">Większość substancji niebezpiecznych określonych w dyrektywie Rady 76/769/EWG zazwyczaj nie występuje w źródłach kruszywa pochodzenia </w:t>
            </w:r>
            <w:r w:rsidRPr="00EF535A">
              <w:rPr>
                <w:bCs/>
                <w:sz w:val="18"/>
                <w:szCs w:val="18"/>
              </w:rPr>
              <w:lastRenderedPageBreak/>
              <w:t>mineralnego. Jednak w odniesieniu do kruszyw sztucznych i odpadowych należy badać czy zawartość substancji niebezpiecznych nie przekracza wartości dopuszczalnych wg odrębnych przepisów</w:t>
            </w:r>
            <w:bookmarkEnd w:id="1025"/>
          </w:p>
        </w:tc>
      </w:tr>
    </w:tbl>
    <w:p w:rsidR="0034055A" w:rsidRPr="007078D3" w:rsidRDefault="0034055A" w:rsidP="00196DDD">
      <w:pPr>
        <w:rPr>
          <w:color w:val="000000"/>
        </w:rPr>
      </w:pPr>
      <w:r w:rsidRPr="007078D3">
        <w:rPr>
          <w:color w:val="000000"/>
          <w:vertAlign w:val="superscript"/>
        </w:rPr>
        <w:lastRenderedPageBreak/>
        <w:t>*)</w:t>
      </w:r>
      <w:r w:rsidRPr="007078D3">
        <w:rPr>
          <w:color w:val="000000"/>
        </w:rPr>
        <w:t> Gdy wartości obliczone z 1,4D oraz d/2 nie są dokładnymi wymiarami sit serii ISO 565/R20, należy przyjąć następny niższy wymiar sita. Jeśli D=90 mm należy przyjąć wymiar sita 125 mm jako wartość nadziarna.</w:t>
      </w:r>
    </w:p>
    <w:p w:rsidR="0034055A" w:rsidRPr="007078D3" w:rsidRDefault="0034055A" w:rsidP="00196DDD">
      <w:pPr>
        <w:rPr>
          <w:color w:val="000000"/>
        </w:rPr>
      </w:pPr>
      <w:r w:rsidRPr="007078D3">
        <w:rPr>
          <w:color w:val="000000"/>
          <w:vertAlign w:val="superscript"/>
        </w:rPr>
        <w:t>**)</w:t>
      </w:r>
      <w:r w:rsidRPr="007078D3">
        <w:rPr>
          <w:color w:val="000000"/>
        </w:rPr>
        <w:t> Procentowa zawartość ziaren przechodzących przez sito D może być większa niż 99% masy, ale w takich przypadkach dostawca powinien zadeklarować typowe uziarnienie.</w:t>
      </w:r>
    </w:p>
    <w:p w:rsidR="0034055A" w:rsidRPr="007078D3" w:rsidRDefault="0034055A" w:rsidP="00196DDD">
      <w:pPr>
        <w:rPr>
          <w:color w:val="000000"/>
        </w:rPr>
      </w:pPr>
      <w:r w:rsidRPr="007078D3">
        <w:rPr>
          <w:color w:val="000000"/>
          <w:vertAlign w:val="superscript"/>
        </w:rPr>
        <w:t>***) </w:t>
      </w:r>
      <w:r w:rsidRPr="007078D3">
        <w:rPr>
          <w:color w:val="000000"/>
        </w:rPr>
        <w:t>Badanie wskaźnika piaskowego SE należy wykonać na mieszance po pięciokrotnym zagęszczeniu metodą Proctora wg PN-EN 13286-2 [21].</w:t>
      </w:r>
    </w:p>
    <w:p w:rsidR="0034055A" w:rsidRPr="007078D3" w:rsidRDefault="0034055A" w:rsidP="00196DDD">
      <w:pPr>
        <w:rPr>
          <w:color w:val="000000"/>
        </w:rPr>
      </w:pPr>
      <w:r w:rsidRPr="007078D3">
        <w:rPr>
          <w:color w:val="000000"/>
        </w:rPr>
        <w:t>5.5. Odcinek próbny</w:t>
      </w:r>
    </w:p>
    <w:p w:rsidR="0034055A" w:rsidRPr="007078D3" w:rsidRDefault="0034055A" w:rsidP="00196DDD">
      <w:pPr>
        <w:rPr>
          <w:color w:val="000000"/>
        </w:rPr>
      </w:pPr>
      <w:r w:rsidRPr="007078D3">
        <w:rPr>
          <w:color w:val="000000"/>
        </w:rPr>
        <w:t>Jeżeli w ST przewidziano potrzebę wykonania odcinka próbnego, to przed rozpoczęciem robót, w terminie uzgodnionym z Inżynierem, Wykonawca powinien wykonać odcinek próbny w celu:</w:t>
      </w:r>
    </w:p>
    <w:p w:rsidR="0034055A" w:rsidRPr="007078D3" w:rsidRDefault="0034055A" w:rsidP="00196DDD">
      <w:pPr>
        <w:rPr>
          <w:color w:val="000000"/>
        </w:rPr>
      </w:pPr>
      <w:r w:rsidRPr="007078D3">
        <w:rPr>
          <w:color w:val="000000"/>
        </w:rPr>
        <w:t>1.     stwierdzenia czy właściwy jest sprzęt budowlany do produkcji mieszanki oraz jej rozkładania i zagęszczania,</w:t>
      </w:r>
    </w:p>
    <w:p w:rsidR="0034055A" w:rsidRPr="007078D3" w:rsidRDefault="0034055A" w:rsidP="00196DDD">
      <w:pPr>
        <w:rPr>
          <w:color w:val="000000"/>
        </w:rPr>
      </w:pPr>
      <w:r w:rsidRPr="007078D3">
        <w:rPr>
          <w:color w:val="000000"/>
        </w:rPr>
        <w:t>2.     określenia grubości wykonywanej warstwy w stanie luźnym, koniecznej do uzyskania wymaganej grubości warstwy po zagęszczeniu,</w:t>
      </w:r>
    </w:p>
    <w:p w:rsidR="0034055A" w:rsidRPr="007078D3" w:rsidRDefault="0034055A" w:rsidP="00196DDD">
      <w:pPr>
        <w:rPr>
          <w:color w:val="000000"/>
        </w:rPr>
      </w:pPr>
      <w:r w:rsidRPr="007078D3">
        <w:rPr>
          <w:color w:val="000000"/>
        </w:rPr>
        <w:t>3.     określenia liczby przejść sprzętu zagęszczającego, potrzebnej do uzyskania wymaganego wskaźnika zagęszczenia wykonywanej warstwy.</w:t>
      </w:r>
    </w:p>
    <w:p w:rsidR="0034055A" w:rsidRPr="007078D3" w:rsidRDefault="0034055A" w:rsidP="00196DDD">
      <w:pPr>
        <w:rPr>
          <w:color w:val="000000"/>
        </w:rPr>
      </w:pPr>
      <w:r w:rsidRPr="007078D3">
        <w:rPr>
          <w:color w:val="000000"/>
        </w:rPr>
        <w:t>Na odcinku próbnym Wykonawca powinien użyć takich materiałów oraz sprzętu do mieszania, rozkładania i zagęszczania, jakie będą stosowane do wykonania warstwy.</w:t>
      </w:r>
    </w:p>
    <w:p w:rsidR="0034055A" w:rsidRPr="007078D3" w:rsidRDefault="0034055A" w:rsidP="00196DDD">
      <w:pPr>
        <w:rPr>
          <w:color w:val="000000"/>
        </w:rPr>
      </w:pPr>
      <w:r w:rsidRPr="007078D3">
        <w:rPr>
          <w:color w:val="000000"/>
        </w:rPr>
        <w:t>Powierzchnia odcinka próbnego powinna wynosić od 400  do 800 m</w:t>
      </w:r>
      <w:r w:rsidRPr="007078D3">
        <w:rPr>
          <w:color w:val="000000"/>
          <w:vertAlign w:val="superscript"/>
        </w:rPr>
        <w:t>2</w:t>
      </w:r>
      <w:r w:rsidRPr="007078D3">
        <w:rPr>
          <w:color w:val="000000"/>
        </w:rPr>
        <w:t>.</w:t>
      </w:r>
    </w:p>
    <w:p w:rsidR="0034055A" w:rsidRPr="007078D3" w:rsidRDefault="0034055A" w:rsidP="00196DDD">
      <w:pPr>
        <w:rPr>
          <w:color w:val="000000"/>
        </w:rPr>
      </w:pPr>
      <w:r w:rsidRPr="007078D3">
        <w:rPr>
          <w:color w:val="000000"/>
        </w:rPr>
        <w:t>Odcinek próbny powinien być zlokalizowany w miejscu wskazanym przez Inżyniera.</w:t>
      </w:r>
    </w:p>
    <w:p w:rsidR="0034055A" w:rsidRPr="007078D3" w:rsidRDefault="0034055A" w:rsidP="00196DDD">
      <w:pPr>
        <w:rPr>
          <w:color w:val="000000"/>
        </w:rPr>
      </w:pPr>
      <w:r w:rsidRPr="007078D3">
        <w:rPr>
          <w:color w:val="000000"/>
        </w:rPr>
        <w:t>Wykonawca może przystąpić do wykonywania warstwy po zaakceptowaniu odcinka próbnego przez Inżyniera.</w:t>
      </w:r>
    </w:p>
    <w:p w:rsidR="0034055A" w:rsidRPr="007078D3" w:rsidRDefault="0034055A" w:rsidP="00196DDD">
      <w:pPr>
        <w:rPr>
          <w:color w:val="000000"/>
        </w:rPr>
      </w:pPr>
      <w:r w:rsidRPr="007078D3">
        <w:rPr>
          <w:color w:val="000000"/>
        </w:rPr>
        <w:t>5.6. Przygotowanie podłoża pod podbudowę pomocniczą</w:t>
      </w:r>
    </w:p>
    <w:p w:rsidR="0034055A" w:rsidRPr="007078D3" w:rsidRDefault="0034055A" w:rsidP="00196DDD">
      <w:pPr>
        <w:rPr>
          <w:color w:val="000000"/>
        </w:rPr>
      </w:pPr>
      <w:r w:rsidRPr="007078D3">
        <w:rPr>
          <w:b/>
          <w:bCs/>
          <w:color w:val="000000"/>
        </w:rPr>
        <w:t>5.6.1. </w:t>
      </w:r>
      <w:r w:rsidRPr="007078D3">
        <w:rPr>
          <w:color w:val="000000"/>
        </w:rPr>
        <w:t>Rodzaje podłoża pod podbudową pomocniczą z kruszywa niezwiązanego</w:t>
      </w:r>
    </w:p>
    <w:p w:rsidR="0034055A" w:rsidRPr="007078D3" w:rsidRDefault="0034055A" w:rsidP="00196DDD">
      <w:pPr>
        <w:rPr>
          <w:color w:val="000000"/>
        </w:rPr>
      </w:pPr>
      <w:r w:rsidRPr="007078D3">
        <w:rPr>
          <w:color w:val="000000"/>
        </w:rPr>
        <w:t>            W zależności od ustaleń dokumentacji projektowej, podbudowę pomocniczą z kruszywa niezwiązanego można układać na:</w:t>
      </w:r>
    </w:p>
    <w:p w:rsidR="0034055A" w:rsidRPr="007078D3" w:rsidRDefault="0034055A" w:rsidP="00196DDD">
      <w:pPr>
        <w:rPr>
          <w:color w:val="000000"/>
        </w:rPr>
      </w:pPr>
      <w:r w:rsidRPr="007078D3">
        <w:rPr>
          <w:color w:val="000000"/>
        </w:rPr>
        <w:t>–       podłożu gruntowym,</w:t>
      </w:r>
    </w:p>
    <w:p w:rsidR="0034055A" w:rsidRPr="007078D3" w:rsidRDefault="0034055A" w:rsidP="00196DDD">
      <w:pPr>
        <w:rPr>
          <w:color w:val="000000"/>
        </w:rPr>
      </w:pPr>
      <w:r w:rsidRPr="007078D3">
        <w:rPr>
          <w:color w:val="000000"/>
        </w:rPr>
        <w:t>–       warstwie odsączającej,</w:t>
      </w:r>
    </w:p>
    <w:p w:rsidR="0034055A" w:rsidRPr="007078D3" w:rsidRDefault="0034055A" w:rsidP="00196DDD">
      <w:pPr>
        <w:rPr>
          <w:color w:val="000000"/>
        </w:rPr>
      </w:pPr>
      <w:r w:rsidRPr="007078D3">
        <w:rPr>
          <w:color w:val="000000"/>
        </w:rPr>
        <w:t>–       podłożu ulepszonym.</w:t>
      </w:r>
    </w:p>
    <w:p w:rsidR="0034055A" w:rsidRPr="007078D3" w:rsidRDefault="0034055A" w:rsidP="00196DDD">
      <w:pPr>
        <w:rPr>
          <w:color w:val="000000"/>
        </w:rPr>
      </w:pPr>
      <w:r w:rsidRPr="007078D3">
        <w:rPr>
          <w:color w:val="000000"/>
        </w:rPr>
        <w:t>          W zależności od potrzeb może wystąpić jeszcze potrzeba wykonania warstwy odcinającej.</w:t>
      </w:r>
    </w:p>
    <w:p w:rsidR="0034055A" w:rsidRPr="007078D3" w:rsidRDefault="0034055A" w:rsidP="00196DDD">
      <w:pPr>
        <w:rPr>
          <w:color w:val="000000"/>
        </w:rPr>
      </w:pPr>
      <w:r w:rsidRPr="007078D3">
        <w:rPr>
          <w:b/>
          <w:bCs/>
          <w:color w:val="000000"/>
        </w:rPr>
        <w:t>5.6.2.  </w:t>
      </w:r>
      <w:r w:rsidRPr="007078D3">
        <w:rPr>
          <w:color w:val="000000"/>
        </w:rPr>
        <w:t>Przygotowanie podłoża gruntowego</w:t>
      </w:r>
    </w:p>
    <w:p w:rsidR="0034055A" w:rsidRPr="007078D3" w:rsidRDefault="0034055A" w:rsidP="00196DDD">
      <w:pPr>
        <w:rPr>
          <w:color w:val="000000"/>
        </w:rPr>
      </w:pPr>
      <w:r w:rsidRPr="007078D3">
        <w:rPr>
          <w:color w:val="000000"/>
        </w:rPr>
        <w:t xml:space="preserve">            Jeśli dokumentacja projektowa przewiduje ułożenie podbudowy pomocniczej na podłożu gruntowym, to powinno ono spełniać wymagania określone w </w:t>
      </w:r>
      <w:r w:rsidR="00985629">
        <w:rPr>
          <w:color w:val="000000"/>
        </w:rPr>
        <w:t>SST</w:t>
      </w:r>
      <w:r w:rsidRPr="007078D3">
        <w:rPr>
          <w:color w:val="000000"/>
        </w:rPr>
        <w:t xml:space="preserve"> D-04.01.01 „Koryto wraz z profilowaniem i zagęszczeniem podłoża” [4] i </w:t>
      </w:r>
      <w:r w:rsidR="00985629">
        <w:rPr>
          <w:color w:val="000000"/>
        </w:rPr>
        <w:t>SST</w:t>
      </w:r>
      <w:r w:rsidRPr="007078D3">
        <w:rPr>
          <w:color w:val="000000"/>
        </w:rPr>
        <w:t xml:space="preserve"> D-02.00.00 „Roboty ziemne” [3]. Podłoże powinno być przygotowane zgodnie z wymaganiami określonymi w dokumentacji projektowej i ST.</w:t>
      </w:r>
    </w:p>
    <w:p w:rsidR="0034055A" w:rsidRPr="007078D3" w:rsidRDefault="0034055A" w:rsidP="00196DDD">
      <w:pPr>
        <w:rPr>
          <w:color w:val="000000"/>
        </w:rPr>
      </w:pPr>
      <w:r w:rsidRPr="007078D3">
        <w:rPr>
          <w:color w:val="000000"/>
        </w:rPr>
        <w:t>            Wykonawca powinien przystąpić do wykonania koryta oraz profilowania i zagęszczania podłoża gruntowego bezpośrednio przed rozpoczęciem robót związanych z wykonaniem warstw nawierzchni. Wcześniejsze przystąpienie do wykonania koryta oraz profilowania i zagęszczania podłoża jest możliwe za zgodą Inżyniera, w korzystnych warunkach atmosferycznych.</w:t>
      </w:r>
    </w:p>
    <w:p w:rsidR="0034055A" w:rsidRPr="007078D3" w:rsidRDefault="0034055A" w:rsidP="00196DDD">
      <w:pPr>
        <w:rPr>
          <w:color w:val="000000"/>
        </w:rPr>
      </w:pPr>
      <w:r w:rsidRPr="007078D3">
        <w:rPr>
          <w:color w:val="000000"/>
        </w:rPr>
        <w:t>            Rodzaj sprzętu należy dostosować do rodzaju gruntu, w którym prowadzone są roboty i do trudności jego odspojenia.</w:t>
      </w:r>
    </w:p>
    <w:p w:rsidR="0034055A" w:rsidRPr="007078D3" w:rsidRDefault="0034055A" w:rsidP="00196DDD">
      <w:pPr>
        <w:rPr>
          <w:color w:val="000000"/>
        </w:rPr>
      </w:pPr>
      <w:r w:rsidRPr="007078D3">
        <w:rPr>
          <w:color w:val="000000"/>
        </w:rPr>
        <w:t>            Grunt odspojony w czasie wykonywania koryta powinien być wykorzystany zgodnie z ustaleniami dokumentacji projektowej i ST.</w:t>
      </w:r>
    </w:p>
    <w:p w:rsidR="0034055A" w:rsidRPr="007078D3" w:rsidRDefault="0034055A" w:rsidP="00196DDD">
      <w:pPr>
        <w:rPr>
          <w:color w:val="000000"/>
        </w:rPr>
      </w:pPr>
      <w:r w:rsidRPr="007078D3">
        <w:rPr>
          <w:color w:val="000000"/>
        </w:rPr>
        <w:t>            W wykonanym korycie, po wyprofilowaniu i zagęszczeniu podłoża nie może odbywać się ruch budowlany, niezwiązany bezpośrednio z wykonaniem podbudowy.</w:t>
      </w:r>
    </w:p>
    <w:p w:rsidR="0034055A" w:rsidRPr="007078D3" w:rsidRDefault="0034055A" w:rsidP="00196DDD">
      <w:pPr>
        <w:rPr>
          <w:color w:val="000000"/>
        </w:rPr>
      </w:pPr>
      <w:r w:rsidRPr="007078D3">
        <w:rPr>
          <w:color w:val="000000"/>
        </w:rPr>
        <w:t>            Po wyprofilowaniu i zagęszczeniu podłoże (koryto) powinno być utrzymywane w dobrym stanie. Jeśli uległo ono nadmiernemu zawilgoceniu, to do układania podbudowy pomocniczej można przystąpić dopiero po jego naturalnym osuszeniu. Po osuszeniu podłoża Inżynier oceni jego stan i ewentualnie zaleci wykonanie niezbędnych napraw.</w:t>
      </w:r>
    </w:p>
    <w:p w:rsidR="0034055A" w:rsidRPr="007078D3" w:rsidRDefault="0034055A" w:rsidP="00196DDD">
      <w:pPr>
        <w:rPr>
          <w:color w:val="000000"/>
        </w:rPr>
      </w:pPr>
      <w:r w:rsidRPr="007078D3">
        <w:rPr>
          <w:color w:val="000000"/>
        </w:rPr>
        <w:t>            Mieszanki niezwiązane przeznaczone do wykonania podbudowy pomocniczej powinny spełniać wymagania dotyczące nieprzenikania cząstek pomiędzy warstwą podbudowy oraz podłożem gruntowym, zgodnie z zależnością:</w:t>
      </w:r>
    </w:p>
    <w:p w:rsidR="0034055A" w:rsidRPr="007078D3" w:rsidRDefault="0034055A" w:rsidP="00196DDD">
      <w:pPr>
        <w:rPr>
          <w:color w:val="000000"/>
        </w:rPr>
      </w:pPr>
      <w:r w:rsidRPr="007078D3">
        <w:rPr>
          <w:color w:val="000000"/>
        </w:rPr>
        <w:t>                                               D</w:t>
      </w:r>
      <w:r w:rsidRPr="007078D3">
        <w:rPr>
          <w:color w:val="000000"/>
          <w:vertAlign w:val="subscript"/>
        </w:rPr>
        <w:t>15</w:t>
      </w:r>
      <w:r w:rsidRPr="007078D3">
        <w:rPr>
          <w:color w:val="000000"/>
        </w:rPr>
        <w:t>/d</w:t>
      </w:r>
      <w:r w:rsidRPr="007078D3">
        <w:rPr>
          <w:color w:val="000000"/>
          <w:vertAlign w:val="subscript"/>
        </w:rPr>
        <w:t>85</w:t>
      </w:r>
      <w:r w:rsidRPr="007078D3">
        <w:rPr>
          <w:color w:val="000000"/>
        </w:rPr>
        <w:t> ≤ 5                      (1)</w:t>
      </w:r>
    </w:p>
    <w:p w:rsidR="0034055A" w:rsidRPr="007078D3" w:rsidRDefault="0034055A" w:rsidP="00196DDD">
      <w:pPr>
        <w:rPr>
          <w:color w:val="000000"/>
        </w:rPr>
      </w:pPr>
      <w:r w:rsidRPr="007078D3">
        <w:rPr>
          <w:color w:val="000000"/>
        </w:rPr>
        <w:t>w której:</w:t>
      </w:r>
    </w:p>
    <w:p w:rsidR="0034055A" w:rsidRPr="007078D3" w:rsidRDefault="0034055A" w:rsidP="00196DDD">
      <w:pPr>
        <w:rPr>
          <w:color w:val="000000"/>
        </w:rPr>
      </w:pPr>
      <w:r w:rsidRPr="007078D3">
        <w:rPr>
          <w:color w:val="000000"/>
        </w:rPr>
        <w:t>D</w:t>
      </w:r>
      <w:r w:rsidRPr="007078D3">
        <w:rPr>
          <w:color w:val="000000"/>
          <w:vertAlign w:val="subscript"/>
        </w:rPr>
        <w:t>15 </w:t>
      </w:r>
      <w:r w:rsidRPr="007078D3">
        <w:rPr>
          <w:color w:val="000000"/>
        </w:rPr>
        <w:t> -</w:t>
      </w:r>
      <w:r w:rsidRPr="007078D3">
        <w:rPr>
          <w:color w:val="000000"/>
          <w:vertAlign w:val="subscript"/>
        </w:rPr>
        <w:t>  </w:t>
      </w:r>
      <w:r w:rsidRPr="007078D3">
        <w:rPr>
          <w:color w:val="000000"/>
        </w:rPr>
        <w:t>wymiar boku oczka sita w mm, przez które przechodzi 15% (m/m) ziaren mieszanki, z której jest wykonana warstwa podbudowy,</w:t>
      </w:r>
    </w:p>
    <w:p w:rsidR="0034055A" w:rsidRPr="007078D3" w:rsidRDefault="0034055A" w:rsidP="00196DDD">
      <w:pPr>
        <w:rPr>
          <w:color w:val="000000"/>
        </w:rPr>
      </w:pPr>
      <w:r w:rsidRPr="007078D3">
        <w:rPr>
          <w:color w:val="000000"/>
        </w:rPr>
        <w:t>D</w:t>
      </w:r>
      <w:r w:rsidRPr="007078D3">
        <w:rPr>
          <w:color w:val="000000"/>
          <w:vertAlign w:val="subscript"/>
        </w:rPr>
        <w:t>85</w:t>
      </w:r>
      <w:r w:rsidRPr="007078D3">
        <w:rPr>
          <w:color w:val="000000"/>
        </w:rPr>
        <w:t> - wymiar boku oczka sita w mm, przez które przechodzi 85% (m/m) ziaren gruntu podłoża.</w:t>
      </w:r>
    </w:p>
    <w:p w:rsidR="0034055A" w:rsidRPr="007078D3" w:rsidRDefault="0034055A" w:rsidP="00196DDD">
      <w:pPr>
        <w:rPr>
          <w:color w:val="000000"/>
        </w:rPr>
      </w:pPr>
      <w:r w:rsidRPr="007078D3">
        <w:rPr>
          <w:color w:val="000000"/>
        </w:rPr>
        <w:t>            Jeżeli warunek (1) nie może być spełniony, to na podłożu gruntowym należy ułożyć warstwę odcinającą z drobnego kruszywa lub geowłókniny (geotkaniny). Ochronne właściwości geowłókniny /geotkaniny przeciw przenikaniu drobnych ziaren gruntu podłoża, wyznacza się z warunku:</w:t>
      </w:r>
    </w:p>
    <w:p w:rsidR="0034055A" w:rsidRPr="007078D3" w:rsidRDefault="0034055A" w:rsidP="00196DDD">
      <w:pPr>
        <w:rPr>
          <w:color w:val="000000"/>
        </w:rPr>
      </w:pPr>
      <w:r w:rsidRPr="007078D3">
        <w:rPr>
          <w:color w:val="000000"/>
        </w:rPr>
        <w:t>                                                d</w:t>
      </w:r>
      <w:r w:rsidRPr="007078D3">
        <w:rPr>
          <w:color w:val="000000"/>
          <w:vertAlign w:val="subscript"/>
        </w:rPr>
        <w:t>50</w:t>
      </w:r>
      <w:r w:rsidRPr="007078D3">
        <w:rPr>
          <w:color w:val="000000"/>
        </w:rPr>
        <w:t> / 0</w:t>
      </w:r>
      <w:r w:rsidRPr="007078D3">
        <w:rPr>
          <w:color w:val="000000"/>
          <w:vertAlign w:val="subscript"/>
        </w:rPr>
        <w:t>90</w:t>
      </w:r>
      <w:r w:rsidRPr="007078D3">
        <w:rPr>
          <w:color w:val="000000"/>
        </w:rPr>
        <w:t> ≥ 1,2              (2)</w:t>
      </w:r>
    </w:p>
    <w:p w:rsidR="0034055A" w:rsidRPr="007078D3" w:rsidRDefault="0034055A" w:rsidP="00196DDD">
      <w:pPr>
        <w:rPr>
          <w:color w:val="000000"/>
        </w:rPr>
      </w:pPr>
      <w:r w:rsidRPr="007078D3">
        <w:rPr>
          <w:color w:val="000000"/>
        </w:rPr>
        <w:t>w której:</w:t>
      </w:r>
    </w:p>
    <w:p w:rsidR="0034055A" w:rsidRPr="007078D3" w:rsidRDefault="0034055A" w:rsidP="00196DDD">
      <w:pPr>
        <w:rPr>
          <w:color w:val="000000"/>
        </w:rPr>
      </w:pPr>
      <w:r w:rsidRPr="007078D3">
        <w:rPr>
          <w:color w:val="000000"/>
        </w:rPr>
        <w:t>d</w:t>
      </w:r>
      <w:r w:rsidRPr="007078D3">
        <w:rPr>
          <w:color w:val="000000"/>
          <w:vertAlign w:val="subscript"/>
        </w:rPr>
        <w:t>50 </w:t>
      </w:r>
      <w:r w:rsidRPr="007078D3">
        <w:rPr>
          <w:color w:val="000000"/>
        </w:rPr>
        <w:t> -</w:t>
      </w:r>
      <w:r w:rsidRPr="007078D3">
        <w:rPr>
          <w:color w:val="000000"/>
          <w:vertAlign w:val="subscript"/>
        </w:rPr>
        <w:t>  </w:t>
      </w:r>
      <w:r w:rsidRPr="007078D3">
        <w:rPr>
          <w:color w:val="000000"/>
        </w:rPr>
        <w:t>wymiar boku oczka sita w mm, przez które przechodzi 50% (m/m) ziaren gruntu podłoża,</w:t>
      </w:r>
    </w:p>
    <w:p w:rsidR="0034055A" w:rsidRPr="007078D3" w:rsidRDefault="0034055A" w:rsidP="00196DDD">
      <w:pPr>
        <w:rPr>
          <w:color w:val="000000"/>
        </w:rPr>
      </w:pPr>
      <w:r w:rsidRPr="007078D3">
        <w:rPr>
          <w:color w:val="000000"/>
        </w:rPr>
        <w:t>0</w:t>
      </w:r>
      <w:r w:rsidRPr="007078D3">
        <w:rPr>
          <w:color w:val="000000"/>
          <w:vertAlign w:val="subscript"/>
        </w:rPr>
        <w:t>90</w:t>
      </w:r>
      <w:r w:rsidRPr="007078D3">
        <w:rPr>
          <w:color w:val="000000"/>
        </w:rPr>
        <w:t>  - umowna średnica porów geowłókniny odpowiadająca wymiarom frakcji gruntu podłoża zatrzymującego się na geowłókninie w ilości 90% (m/m); wartość parametru 0</w:t>
      </w:r>
      <w:r w:rsidRPr="007078D3">
        <w:rPr>
          <w:color w:val="000000"/>
          <w:vertAlign w:val="subscript"/>
        </w:rPr>
        <w:t>90</w:t>
      </w:r>
      <w:r w:rsidRPr="007078D3">
        <w:rPr>
          <w:color w:val="000000"/>
        </w:rPr>
        <w:t> powinna być podana przez producenta geowłókniny; masa powierzchniowa geowłókniny nie powinna być mniejsza od 200 g/m</w:t>
      </w:r>
      <w:r w:rsidRPr="007078D3">
        <w:rPr>
          <w:color w:val="000000"/>
          <w:vertAlign w:val="superscript"/>
        </w:rPr>
        <w:t>2</w:t>
      </w:r>
      <w:r w:rsidRPr="007078D3">
        <w:rPr>
          <w:color w:val="000000"/>
        </w:rPr>
        <w:t>.</w:t>
      </w:r>
    </w:p>
    <w:p w:rsidR="0034055A" w:rsidRPr="007078D3" w:rsidRDefault="0034055A" w:rsidP="00196DDD">
      <w:pPr>
        <w:rPr>
          <w:color w:val="000000"/>
        </w:rPr>
      </w:pPr>
      <w:r w:rsidRPr="007078D3">
        <w:rPr>
          <w:color w:val="000000"/>
        </w:rPr>
        <w:t>Warstwa odcinająca zabezpiecza przed przenikaniem drobnych cząstek podłoża gruntowego do warstwy położonej wyżej. Drobne cząstki powodują wymieszanie gruntu podłoża z warstwą kruszywa, uplastyczniając ją i wpływając na utratę jej nośności przy zawilgoceniu.</w:t>
      </w:r>
    </w:p>
    <w:p w:rsidR="0034055A" w:rsidRPr="007078D3" w:rsidRDefault="0034055A" w:rsidP="00196DDD">
      <w:pPr>
        <w:rPr>
          <w:color w:val="000000"/>
        </w:rPr>
      </w:pPr>
      <w:r w:rsidRPr="007078D3">
        <w:rPr>
          <w:color w:val="000000"/>
        </w:rPr>
        <w:t xml:space="preserve">Warstwa odcinająca może być wykonana jako warstwa z miału kamiennego, odsiewek, drobnego kruszywa itp. grubości np. 5÷10 cm, według </w:t>
      </w:r>
      <w:r w:rsidR="00985629">
        <w:rPr>
          <w:color w:val="000000"/>
        </w:rPr>
        <w:t>SST</w:t>
      </w:r>
      <w:r w:rsidRPr="007078D3">
        <w:rPr>
          <w:color w:val="000000"/>
        </w:rPr>
        <w:t xml:space="preserve"> D-04.02.01 „Warstwy odsączające i odcinające” [5] lub z geowłókniny (geotkaniny) według </w:t>
      </w:r>
      <w:r w:rsidR="00985629">
        <w:rPr>
          <w:color w:val="000000"/>
        </w:rPr>
        <w:t>SST</w:t>
      </w:r>
      <w:r w:rsidRPr="007078D3">
        <w:rPr>
          <w:color w:val="000000"/>
        </w:rPr>
        <w:t xml:space="preserve"> D-04.02.01a „Warstwa odcinająca z geowłókniny” [6].</w:t>
      </w:r>
    </w:p>
    <w:p w:rsidR="0034055A" w:rsidRPr="007078D3" w:rsidRDefault="0034055A" w:rsidP="00196DDD">
      <w:pPr>
        <w:rPr>
          <w:color w:val="000000"/>
        </w:rPr>
      </w:pPr>
      <w:r w:rsidRPr="007078D3">
        <w:rPr>
          <w:color w:val="000000"/>
        </w:rPr>
        <w:t xml:space="preserve">Jeżeli kruszywo przeznaczone do wykonania warstwy odcinającej nie jest wbudowane bezpośrednio po dostarczeniu na budowę i zachodzi potrzeba jego okresowego składowania, to Wykonawca robót powinien zabezpieczyć kruszywo przed zanieczyszczeniem i zmieszaniem z </w:t>
      </w:r>
      <w:r w:rsidRPr="007078D3">
        <w:rPr>
          <w:color w:val="000000"/>
        </w:rPr>
        <w:lastRenderedPageBreak/>
        <w:t>innymi materiałami. Podłoże w miejscu składowania powinno być równe, utwardzone i dobrze odwodnione. Geowłókniny przeznaczone do robót należy przechowywać w opakowaniach fabrycznych w pomieszczeniach czystych, suchych i wentylowanych.</w:t>
      </w:r>
    </w:p>
    <w:p w:rsidR="0034055A" w:rsidRPr="007078D3" w:rsidRDefault="0034055A" w:rsidP="00196DDD">
      <w:pPr>
        <w:rPr>
          <w:color w:val="000000"/>
        </w:rPr>
      </w:pPr>
      <w:r w:rsidRPr="007078D3">
        <w:rPr>
          <w:b/>
          <w:bCs/>
          <w:color w:val="000000"/>
        </w:rPr>
        <w:t>5.6.3. </w:t>
      </w:r>
      <w:r w:rsidRPr="007078D3">
        <w:rPr>
          <w:color w:val="000000"/>
        </w:rPr>
        <w:t>Wykonanie warstwy odsączającej</w:t>
      </w:r>
    </w:p>
    <w:p w:rsidR="0034055A" w:rsidRPr="007078D3" w:rsidRDefault="0034055A" w:rsidP="00196DDD">
      <w:pPr>
        <w:rPr>
          <w:color w:val="000000"/>
        </w:rPr>
      </w:pPr>
      <w:r w:rsidRPr="007078D3">
        <w:rPr>
          <w:b/>
          <w:bCs/>
          <w:color w:val="000000"/>
        </w:rPr>
        <w:t>            </w:t>
      </w:r>
      <w:r w:rsidRPr="007078D3">
        <w:rPr>
          <w:color w:val="000000"/>
        </w:rPr>
        <w:t>Jeśli dokumentacja projektowa przewiduje warstwę odsączającą to należy wykonać ją zgodnie z podanymi ustaleniami. Warstwa odsączająca jest warstwą położoną pod podbudową pomocniczą, a w przypadku występującej warstwy odcinającej, ułożona jest bezpośrednio nad nią.</w:t>
      </w:r>
    </w:p>
    <w:p w:rsidR="0034055A" w:rsidRPr="007078D3" w:rsidRDefault="0034055A" w:rsidP="00196DDD">
      <w:pPr>
        <w:rPr>
          <w:color w:val="000000"/>
        </w:rPr>
      </w:pPr>
      <w:r w:rsidRPr="007078D3">
        <w:rPr>
          <w:color w:val="000000"/>
        </w:rPr>
        <w:t>Warstwa odsączająca zapewnia odwodnienie konstrukcji nawierzchni i powinna charakteryzować się wodoprzepuszczalnością określoną współczynnikiem filtracji k ≥ 8 m/dobę (≥ 0,0093 cm/s).</w:t>
      </w:r>
    </w:p>
    <w:p w:rsidR="0034055A" w:rsidRPr="007078D3" w:rsidRDefault="0034055A" w:rsidP="00196DDD">
      <w:pPr>
        <w:rPr>
          <w:color w:val="000000"/>
        </w:rPr>
      </w:pPr>
      <w:r w:rsidRPr="007078D3">
        <w:rPr>
          <w:color w:val="000000"/>
        </w:rPr>
        <w:t xml:space="preserve">            Warstwa odsączająca może być wykonana jako warstwa z piasku, żwiru, geowłókniny według </w:t>
      </w:r>
      <w:r w:rsidR="00985629">
        <w:rPr>
          <w:color w:val="000000"/>
        </w:rPr>
        <w:t>SST</w:t>
      </w:r>
      <w:r w:rsidRPr="007078D3">
        <w:rPr>
          <w:color w:val="000000"/>
        </w:rPr>
        <w:t xml:space="preserve"> D-04.02.01 „Warstwy odsączające i odcinające” [5].</w:t>
      </w:r>
    </w:p>
    <w:p w:rsidR="0034055A" w:rsidRPr="007078D3" w:rsidRDefault="0034055A" w:rsidP="00196DDD">
      <w:pPr>
        <w:rPr>
          <w:color w:val="000000"/>
        </w:rPr>
      </w:pPr>
      <w:r w:rsidRPr="007078D3">
        <w:rPr>
          <w:b/>
          <w:bCs/>
          <w:color w:val="000000"/>
        </w:rPr>
        <w:t>5.6.4.  </w:t>
      </w:r>
      <w:r w:rsidRPr="007078D3">
        <w:rPr>
          <w:color w:val="000000"/>
        </w:rPr>
        <w:t>Ułożenie podbudowy pomocniczej na podłożu ulepszonym</w:t>
      </w:r>
    </w:p>
    <w:p w:rsidR="0034055A" w:rsidRPr="007078D3" w:rsidRDefault="0034055A" w:rsidP="00196DDD">
      <w:pPr>
        <w:rPr>
          <w:color w:val="000000"/>
        </w:rPr>
      </w:pPr>
      <w:r w:rsidRPr="007078D3">
        <w:rPr>
          <w:color w:val="000000"/>
        </w:rPr>
        <w:t>            Jeśli podłoże gruntowe nie spełnia warunku nośności lub mrozoodporności, wówczas wykonuje się w górnej jego warstwie podłoże ulepszone, stanowiące warstwę lub zespół warstw leżących pod konstrukcją nawierzchni drogowej.</w:t>
      </w:r>
    </w:p>
    <w:p w:rsidR="0034055A" w:rsidRPr="007078D3" w:rsidRDefault="0034055A" w:rsidP="00196DDD">
      <w:pPr>
        <w:rPr>
          <w:color w:val="000000"/>
        </w:rPr>
      </w:pPr>
      <w:r w:rsidRPr="007078D3">
        <w:rPr>
          <w:color w:val="000000"/>
        </w:rPr>
        <w:t xml:space="preserve">            W przypadku wykonywania podbudowy pomocniczej z mieszanki kruszywa niezwiązanego, najkorzystniejszą konstrukcją podłoża ulepszonego jest również mieszanka kruszywa niezwiązanego. Wykonanie podłoża ulepszonego powinno odpowiadać wymaganiom zawartym w </w:t>
      </w:r>
      <w:r w:rsidR="00985629">
        <w:rPr>
          <w:color w:val="000000"/>
        </w:rPr>
        <w:t>SST</w:t>
      </w:r>
      <w:r w:rsidRPr="007078D3">
        <w:rPr>
          <w:color w:val="000000"/>
        </w:rPr>
        <w:t xml:space="preserve"> D-04.04.00a „Podłoże ulepszone z mieszanki kruszywa niezwiązanego” [7]. Wszystkie niezbędne cechy geometryczne podłoża ulepszonego powinny być zgodne z ustaleniami dokumentacji projektowej.</w:t>
      </w:r>
    </w:p>
    <w:p w:rsidR="0034055A" w:rsidRPr="007078D3" w:rsidRDefault="0034055A" w:rsidP="00196DDD">
      <w:pPr>
        <w:rPr>
          <w:color w:val="000000"/>
        </w:rPr>
      </w:pPr>
      <w:r w:rsidRPr="007078D3">
        <w:rPr>
          <w:color w:val="000000"/>
        </w:rPr>
        <w:t>5.7. Wytwarzanie mieszanki kruszywa na warstwę podbudowy pomocniczej</w:t>
      </w:r>
    </w:p>
    <w:p w:rsidR="0034055A" w:rsidRPr="007078D3" w:rsidRDefault="0034055A" w:rsidP="00196DDD">
      <w:pPr>
        <w:rPr>
          <w:color w:val="000000"/>
        </w:rPr>
      </w:pPr>
      <w:r w:rsidRPr="007078D3">
        <w:rPr>
          <w:color w:val="000000"/>
        </w:rPr>
        <w:t>Mieszankę kruszywa o ściśle określonym uziarnieniu i wilgotności optymalnej należy wytwarzać w mieszarkach, gwarantujących otrzymanie jednorodnej mieszanki. Mieszarki (wytwórnie mieszanek kruszywa) stacjonarne lub mobilne powinny zapewnić ciągłość produkcji zgodną z receptą laboratoryjną.</w:t>
      </w:r>
    </w:p>
    <w:p w:rsidR="0034055A" w:rsidRPr="007078D3" w:rsidRDefault="0034055A" w:rsidP="00196DDD">
      <w:pPr>
        <w:rPr>
          <w:color w:val="000000"/>
        </w:rPr>
      </w:pPr>
      <w:r w:rsidRPr="007078D3">
        <w:rPr>
          <w:color w:val="000000"/>
        </w:rPr>
        <w:t>            Ze względu na konieczność zapewnienia mieszance jednorodności nie zaleca się wytwarzania mieszanki przez mieszanie poszczególnych frakcji kruszywa na drodze.</w:t>
      </w:r>
    </w:p>
    <w:p w:rsidR="0034055A" w:rsidRPr="007078D3" w:rsidRDefault="0034055A" w:rsidP="00196DDD">
      <w:pPr>
        <w:rPr>
          <w:color w:val="000000"/>
        </w:rPr>
      </w:pPr>
      <w:r w:rsidRPr="007078D3">
        <w:rPr>
          <w:color w:val="000000"/>
        </w:rPr>
        <w:t>            Przy produkcji mieszanki kruszywa należy prowadzić zakładową kontrolę produkcji mieszanek niezwiązanych, zgodnie z  WT-4 [25] załącznik C, a przy dostarczaniu mieszanki przez producenta/dostawcę należy stosować się do zasad deklarowania w odniesieniu do zakresu uziarnienia podanych w WT-4 [25] załącznik B.</w:t>
      </w:r>
    </w:p>
    <w:p w:rsidR="0034055A" w:rsidRPr="007078D3" w:rsidRDefault="0034055A" w:rsidP="00196DDD">
      <w:pPr>
        <w:rPr>
          <w:color w:val="000000"/>
        </w:rPr>
      </w:pPr>
      <w:r w:rsidRPr="007078D3">
        <w:rPr>
          <w:color w:val="000000"/>
        </w:rPr>
        <w:t>5.8. Wbudowanie mieszanki kruszywa w warstwę podbudowy pomocniczej</w:t>
      </w:r>
    </w:p>
    <w:p w:rsidR="0034055A" w:rsidRPr="007078D3" w:rsidRDefault="0034055A" w:rsidP="00196DDD">
      <w:pPr>
        <w:rPr>
          <w:color w:val="000000"/>
        </w:rPr>
      </w:pPr>
      <w:r w:rsidRPr="007078D3">
        <w:rPr>
          <w:color w:val="000000"/>
        </w:rPr>
        <w:t>            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w:t>
      </w:r>
    </w:p>
    <w:p w:rsidR="0034055A" w:rsidRPr="007078D3" w:rsidRDefault="0034055A" w:rsidP="00196DDD">
      <w:pPr>
        <w:rPr>
          <w:color w:val="000000"/>
        </w:rPr>
      </w:pPr>
      <w:r w:rsidRPr="007078D3">
        <w:rPr>
          <w:color w:val="000000"/>
        </w:rPr>
        <w:t>            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Grubość pojedynczo układanej warstwy nie może przekraczać 20 cm po zagęszczeniu. Jeżeli układana konstrukcja składa się z więcej niż jednej warstwy kruszywa, to każda warstwa powinna być wyprofilowana i zagęszczona z zachowaniem wymaganych spadków i rzędnych wysokościowych. Rozpoczęcie budowy każdej następnej warstwy może nastąpić po odbiorze poprzedniej warstwy przez Inżyniera.</w:t>
      </w:r>
    </w:p>
    <w:p w:rsidR="0034055A" w:rsidRPr="007078D3" w:rsidRDefault="0034055A" w:rsidP="00196DDD">
      <w:pPr>
        <w:rPr>
          <w:color w:val="000000"/>
        </w:rPr>
      </w:pPr>
      <w:r w:rsidRPr="007078D3">
        <w:rPr>
          <w:color w:val="000000"/>
        </w:rPr>
        <w:t>            Wilgotność mieszanki kruszywa podczas zagęszczania powinna odpowiadać wilgotności optymalnej, określonej według próby Proctora. Mieszanka o większej wilgotności powinna zostać osuszona przez mieszanie i napowietrzanie, np. przemieszanie jej mieszarką, kilkakrotne przesuwanie mieszanki równiarką.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w:t>
      </w:r>
    </w:p>
    <w:p w:rsidR="0034055A" w:rsidRPr="007078D3" w:rsidRDefault="0034055A" w:rsidP="00196DDD">
      <w:pPr>
        <w:rPr>
          <w:color w:val="000000"/>
        </w:rPr>
      </w:pPr>
      <w:r w:rsidRPr="007078D3">
        <w:rPr>
          <w:color w:val="000000"/>
        </w:rPr>
        <w:t>            Rozścieloną mieszankę kruszywa należy sprofilować równiarką lub ciężkim szablonem, do spadków poprzecznych i pochyleń podłużnych ustalonych w dokumentacji projektowej. W czasie profilowania należy wyrównać lokalne wgłębienia.</w:t>
      </w:r>
    </w:p>
    <w:p w:rsidR="0034055A" w:rsidRPr="007078D3" w:rsidRDefault="0034055A" w:rsidP="00196DDD">
      <w:pPr>
        <w:rPr>
          <w:color w:val="000000"/>
        </w:rPr>
      </w:pPr>
      <w:r w:rsidRPr="007078D3">
        <w:rPr>
          <w:color w:val="000000"/>
        </w:rPr>
        <w:t>5.9. Zagęszczanie mieszanki kruszywa</w:t>
      </w:r>
    </w:p>
    <w:p w:rsidR="0034055A" w:rsidRPr="007078D3" w:rsidRDefault="0034055A" w:rsidP="00196DDD">
      <w:pPr>
        <w:rPr>
          <w:color w:val="000000"/>
        </w:rPr>
      </w:pPr>
      <w:r w:rsidRPr="007078D3">
        <w:rPr>
          <w:color w:val="000000"/>
        </w:rPr>
        <w:t>            Po wyprofilowaniu mieszanki kruszywa należy rozpocząć jej zagęszczanie, które należy kontynuować aż do osiągnięcia wymaganego w ST wskaźnika zagęszczenia.</w:t>
      </w:r>
    </w:p>
    <w:p w:rsidR="0034055A" w:rsidRPr="007078D3" w:rsidRDefault="0034055A" w:rsidP="00196DDD">
      <w:pPr>
        <w:rPr>
          <w:color w:val="000000"/>
        </w:rPr>
      </w:pPr>
      <w:r w:rsidRPr="007078D3">
        <w:rPr>
          <w:color w:val="000000"/>
        </w:rPr>
        <w:t>            Warstwę kruszywa niezwiązanego należy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w:t>
      </w:r>
    </w:p>
    <w:p w:rsidR="0034055A" w:rsidRPr="007078D3" w:rsidRDefault="0034055A" w:rsidP="00196DDD">
      <w:pPr>
        <w:rPr>
          <w:color w:val="000000"/>
        </w:rPr>
      </w:pPr>
      <w:r w:rsidRPr="007078D3">
        <w:rPr>
          <w:color w:val="000000"/>
        </w:rPr>
        <w:t>            Zagęszczenie powinno być równomierne na całej szerokości warstwy.</w:t>
      </w:r>
    </w:p>
    <w:p w:rsidR="0034055A" w:rsidRPr="007078D3" w:rsidRDefault="0034055A" w:rsidP="00196DDD">
      <w:pPr>
        <w:rPr>
          <w:color w:val="000000"/>
        </w:rPr>
      </w:pPr>
      <w:r w:rsidRPr="007078D3">
        <w:rPr>
          <w:color w:val="000000"/>
        </w:rPr>
        <w:t>            Zaleca się, aby grubość zagęszczanej warstwy nie przekraczała przy walcach statycznych gładkich 15 cm, a przy walcach ogumionych lub wibracyjnych 20 cm.</w:t>
      </w:r>
    </w:p>
    <w:p w:rsidR="0034055A" w:rsidRPr="007078D3" w:rsidRDefault="0034055A" w:rsidP="00196DDD">
      <w:pPr>
        <w:rPr>
          <w:color w:val="000000"/>
        </w:rPr>
      </w:pPr>
      <w:r w:rsidRPr="007078D3">
        <w:rPr>
          <w:color w:val="000000"/>
        </w:rPr>
        <w:t>5.10. Utrzymanie wykonanej warstwy</w:t>
      </w:r>
    </w:p>
    <w:p w:rsidR="0034055A" w:rsidRPr="007078D3" w:rsidRDefault="0034055A" w:rsidP="00196DDD">
      <w:pPr>
        <w:rPr>
          <w:color w:val="000000"/>
        </w:rPr>
      </w:pPr>
      <w:r w:rsidRPr="007078D3">
        <w:rPr>
          <w:color w:val="000000"/>
        </w:rPr>
        <w:t>            Zagęszczona warstwa, przed ułożeniem następnej warstwy, powinna być utrzymywana w dobrym stanie. Jeżeli po wykonanej warstwie będzie się odbywał ruch budowlany, to Wykonawca jest obowiązany naprawić wszelkie uszkodzenia, spowodowane przez ten ruch.</w:t>
      </w:r>
    </w:p>
    <w:p w:rsidR="0034055A" w:rsidRPr="007078D3" w:rsidRDefault="0034055A" w:rsidP="00196DDD">
      <w:pPr>
        <w:rPr>
          <w:color w:val="000000"/>
        </w:rPr>
      </w:pPr>
      <w:r w:rsidRPr="007078D3">
        <w:rPr>
          <w:color w:val="000000"/>
        </w:rPr>
        <w:t>5.11. Roboty wykończeniowe</w:t>
      </w:r>
    </w:p>
    <w:p w:rsidR="0034055A" w:rsidRPr="007078D3" w:rsidRDefault="0034055A" w:rsidP="00196DDD">
      <w:pPr>
        <w:rPr>
          <w:color w:val="000000"/>
        </w:rPr>
      </w:pPr>
      <w:r w:rsidRPr="007078D3">
        <w:rPr>
          <w:color w:val="000000"/>
        </w:rPr>
        <w:t>Roboty wykończeniowe, zgodne z dokumentacją projektową, ST lub wskazaniami Inżyniera dotyczą prac związanych z dostosowaniem wykonanych  robót do istniejących warunków terenowych, takie jak:</w:t>
      </w:r>
    </w:p>
    <w:p w:rsidR="0034055A" w:rsidRPr="007078D3" w:rsidRDefault="0034055A" w:rsidP="00196DDD">
      <w:pPr>
        <w:rPr>
          <w:color w:val="000000"/>
        </w:rPr>
      </w:pPr>
      <w:r w:rsidRPr="007078D3">
        <w:rPr>
          <w:color w:val="000000"/>
        </w:rPr>
        <w:t>–    odtworzenie przeszkód czasowo usuniętych,</w:t>
      </w:r>
    </w:p>
    <w:p w:rsidR="0034055A" w:rsidRPr="007078D3" w:rsidRDefault="0034055A" w:rsidP="00196DDD">
      <w:pPr>
        <w:rPr>
          <w:color w:val="000000"/>
        </w:rPr>
      </w:pPr>
      <w:r w:rsidRPr="007078D3">
        <w:rPr>
          <w:color w:val="000000"/>
        </w:rPr>
        <w:t>–    uzupełnienie zniszczonych w czasie robót istniejących elementów drogowych lub terenowych,</w:t>
      </w:r>
    </w:p>
    <w:p w:rsidR="0034055A" w:rsidRPr="007078D3" w:rsidRDefault="0034055A" w:rsidP="00196DDD">
      <w:pPr>
        <w:rPr>
          <w:color w:val="000000"/>
        </w:rPr>
      </w:pPr>
      <w:r w:rsidRPr="007078D3">
        <w:rPr>
          <w:color w:val="000000"/>
        </w:rPr>
        <w:t>-     roboty porządkujące otoczenie terenu robót,</w:t>
      </w:r>
    </w:p>
    <w:p w:rsidR="0034055A" w:rsidRPr="007078D3" w:rsidRDefault="0034055A" w:rsidP="00196DDD">
      <w:pPr>
        <w:rPr>
          <w:color w:val="000000"/>
        </w:rPr>
      </w:pPr>
      <w:r w:rsidRPr="007078D3">
        <w:rPr>
          <w:color w:val="000000"/>
        </w:rPr>
        <w:t>-     usunięcie oznakowania drogi wprowadzonego na okres robót.</w:t>
      </w:r>
    </w:p>
    <w:p w:rsidR="0034055A" w:rsidRPr="007078D3" w:rsidRDefault="0034055A" w:rsidP="00196DDD">
      <w:pPr>
        <w:rPr>
          <w:caps/>
          <w:color w:val="000000"/>
        </w:rPr>
      </w:pPr>
      <w:bookmarkStart w:id="1026" w:name="_Toc348096811"/>
      <w:r w:rsidRPr="007078D3">
        <w:rPr>
          <w:caps/>
          <w:color w:val="000000"/>
        </w:rPr>
        <w:lastRenderedPageBreak/>
        <w:t>6. KONTROLA JAKOŚCI ROBÓT</w:t>
      </w:r>
      <w:bookmarkEnd w:id="1026"/>
    </w:p>
    <w:p w:rsidR="0034055A" w:rsidRPr="007078D3" w:rsidRDefault="0034055A" w:rsidP="00196DDD">
      <w:pPr>
        <w:rPr>
          <w:color w:val="000000"/>
        </w:rPr>
      </w:pPr>
      <w:r w:rsidRPr="007078D3">
        <w:rPr>
          <w:color w:val="000000"/>
        </w:rPr>
        <w:t>6.1. Ogólne zasady kontroli jakości robót</w:t>
      </w:r>
    </w:p>
    <w:p w:rsidR="0034055A" w:rsidRPr="007078D3" w:rsidRDefault="0034055A" w:rsidP="00196DDD">
      <w:pPr>
        <w:rPr>
          <w:color w:val="000000"/>
        </w:rPr>
      </w:pPr>
      <w:r w:rsidRPr="007078D3">
        <w:rPr>
          <w:color w:val="000000"/>
        </w:rPr>
        <w:t xml:space="preserve">            Ogólne zasady kontroli jakości robót podano w </w:t>
      </w:r>
      <w:r w:rsidR="00985629">
        <w:rPr>
          <w:color w:val="000000"/>
        </w:rPr>
        <w:t>SST</w:t>
      </w:r>
      <w:r w:rsidRPr="007078D3">
        <w:rPr>
          <w:color w:val="000000"/>
        </w:rPr>
        <w:t>   D-M-00.00.00 „Wymagania ogólne” [1], pkt 6.</w:t>
      </w:r>
    </w:p>
    <w:p w:rsidR="0034055A" w:rsidRPr="007078D3" w:rsidRDefault="0034055A" w:rsidP="00196DDD">
      <w:pPr>
        <w:rPr>
          <w:color w:val="000000"/>
        </w:rPr>
      </w:pPr>
      <w:r w:rsidRPr="007078D3">
        <w:rPr>
          <w:color w:val="000000"/>
        </w:rPr>
        <w:t>6.2. Badania przed przystąpieniem do robót</w:t>
      </w:r>
    </w:p>
    <w:p w:rsidR="0034055A" w:rsidRPr="007078D3" w:rsidRDefault="0034055A" w:rsidP="00196DDD">
      <w:pPr>
        <w:rPr>
          <w:color w:val="000000"/>
        </w:rPr>
      </w:pPr>
      <w:r w:rsidRPr="007078D3">
        <w:rPr>
          <w:color w:val="000000"/>
        </w:rPr>
        <w:t>            Przed przystąpieniem do robót Wykonawca powinien:</w:t>
      </w:r>
    </w:p>
    <w:p w:rsidR="0034055A" w:rsidRPr="007078D3" w:rsidRDefault="0034055A" w:rsidP="00196DDD">
      <w:pPr>
        <w:rPr>
          <w:color w:val="000000"/>
        </w:rPr>
      </w:pPr>
      <w:r w:rsidRPr="007078D3">
        <w:rPr>
          <w:color w:val="000000"/>
        </w:rPr>
        <w:t>-     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rsidR="0034055A" w:rsidRPr="007078D3" w:rsidRDefault="0034055A" w:rsidP="00196DDD">
      <w:pPr>
        <w:rPr>
          <w:color w:val="000000"/>
        </w:rPr>
      </w:pPr>
      <w:r w:rsidRPr="007078D3">
        <w:rPr>
          <w:color w:val="000000"/>
        </w:rPr>
        <w:t xml:space="preserve">-     wykonać badania kruszyw przeznaczonych do wykonania robót, obejmujące wszystkie właściwości określone w tabeli 1 niniejszej </w:t>
      </w:r>
      <w:r w:rsidR="00985629">
        <w:rPr>
          <w:color w:val="000000"/>
        </w:rPr>
        <w:t>SST</w:t>
      </w:r>
      <w:r w:rsidRPr="007078D3">
        <w:rPr>
          <w:color w:val="000000"/>
        </w:rPr>
        <w:t>.</w:t>
      </w:r>
    </w:p>
    <w:p w:rsidR="0034055A" w:rsidRPr="007078D3" w:rsidRDefault="0034055A" w:rsidP="00196DDD">
      <w:pPr>
        <w:rPr>
          <w:color w:val="000000"/>
        </w:rPr>
      </w:pPr>
      <w:r w:rsidRPr="007078D3">
        <w:rPr>
          <w:color w:val="000000"/>
        </w:rPr>
        <w:t>            Wszystkie dokumenty oraz wyniki badań Wykonawca przedstawia Inżynierowi do akceptacji.</w:t>
      </w:r>
    </w:p>
    <w:p w:rsidR="0034055A" w:rsidRPr="007078D3" w:rsidRDefault="0034055A" w:rsidP="00196DDD">
      <w:pPr>
        <w:rPr>
          <w:color w:val="000000"/>
        </w:rPr>
      </w:pPr>
      <w:r w:rsidRPr="007078D3">
        <w:rPr>
          <w:color w:val="000000"/>
        </w:rPr>
        <w:t>6.3. Badania w czasie robót</w:t>
      </w:r>
    </w:p>
    <w:p w:rsidR="0034055A" w:rsidRPr="007078D3" w:rsidRDefault="0034055A" w:rsidP="00196DDD">
      <w:pPr>
        <w:rPr>
          <w:color w:val="000000"/>
        </w:rPr>
      </w:pPr>
      <w:r w:rsidRPr="007078D3">
        <w:rPr>
          <w:color w:val="000000"/>
        </w:rPr>
        <w:t>            Częstotliwość oraz zakres badań i pomiarów, które należy wykonać w czasie robót podaje tabeli 5.</w:t>
      </w:r>
    </w:p>
    <w:p w:rsidR="0034055A" w:rsidRPr="007078D3" w:rsidRDefault="0034055A" w:rsidP="00196DDD">
      <w:pPr>
        <w:rPr>
          <w:color w:val="000000"/>
        </w:rPr>
      </w:pPr>
      <w:r w:rsidRPr="007078D3">
        <w:rPr>
          <w:color w:val="000000"/>
        </w:rPr>
        <w:t>Tabela 5. Częstotliwość oraz zakres badań i pomiarów w czasie robót</w:t>
      </w:r>
    </w:p>
    <w:tbl>
      <w:tblPr>
        <w:tblW w:w="8927" w:type="dxa"/>
        <w:shd w:val="clear" w:color="auto" w:fill="EAEAEA"/>
        <w:tblCellMar>
          <w:left w:w="0" w:type="dxa"/>
          <w:right w:w="0" w:type="dxa"/>
        </w:tblCellMar>
        <w:tblLook w:val="04A0"/>
      </w:tblPr>
      <w:tblGrid>
        <w:gridCol w:w="496"/>
        <w:gridCol w:w="3534"/>
        <w:gridCol w:w="2204"/>
        <w:gridCol w:w="2693"/>
      </w:tblGrid>
      <w:tr w:rsidR="0034055A" w:rsidRPr="00EF535A" w:rsidTr="0034055A">
        <w:tc>
          <w:tcPr>
            <w:tcW w:w="496" w:type="dxa"/>
            <w:tcBorders>
              <w:top w:val="single" w:sz="8" w:space="0" w:color="auto"/>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Lp.</w:t>
            </w:r>
          </w:p>
        </w:tc>
        <w:tc>
          <w:tcPr>
            <w:tcW w:w="3534"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Wyszczególnienie robót</w:t>
            </w:r>
          </w:p>
        </w:tc>
        <w:tc>
          <w:tcPr>
            <w:tcW w:w="2204"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Częstotliwość badań</w:t>
            </w:r>
          </w:p>
        </w:tc>
        <w:tc>
          <w:tcPr>
            <w:tcW w:w="2693"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Wartości dopuszczalne</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Lokalizacja i zgodność granic terenu robót z dokumentacją projektową</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 raz</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pkt. 5</w:t>
            </w:r>
          </w:p>
          <w:p w:rsidR="0034055A" w:rsidRPr="00EF535A" w:rsidRDefault="0034055A" w:rsidP="00196DDD">
            <w:pPr>
              <w:rPr>
                <w:sz w:val="18"/>
                <w:szCs w:val="18"/>
              </w:rPr>
            </w:pPr>
            <w:r w:rsidRPr="00EF535A">
              <w:rPr>
                <w:sz w:val="18"/>
                <w:szCs w:val="18"/>
              </w:rPr>
              <w:t>i dokumentacji projektowej</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2</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Roboty przygotowawcze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Ocena ciągła</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pkt. 5.3</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3</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Właściwości kruszywa</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Dla każdej partii kruszywa  i przy każdej zmianie kruszywa</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tabeli 1</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4</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Uziarnienie mieszanki</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2 razy na dziennej działce roboczej </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tabeli 4</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5</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Wilgotność mieszanki</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6</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Zawartość pyłów w mieszance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7</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Zawartość nadziarna w mieszance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8</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Wrażliwość mieszanki na mróz, wskaźnik piaskowy</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9</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Zawartość wody w mieszance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10</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Wartość CBR po zagęszczeniu mieszanki</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10 próbek</w:t>
            </w:r>
            <w:r w:rsidRPr="00EF535A">
              <w:rPr>
                <w:sz w:val="18"/>
                <w:szCs w:val="18"/>
              </w:rPr>
              <w:br/>
              <w:t>na 10 000 m</w:t>
            </w:r>
            <w:r w:rsidRPr="00EF535A">
              <w:rPr>
                <w:sz w:val="18"/>
                <w:szCs w:val="18"/>
                <w:vertAlign w:val="superscript"/>
              </w:rPr>
              <w:t>2</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11</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Inne właściwości mieszanki</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ustalenia Inżyniera</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12</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Cechy środowiskowe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ustalenia Inżyniera</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13</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Roboty wykończeniowe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Ocena ciągła</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pkt. 5.11</w:t>
            </w:r>
          </w:p>
        </w:tc>
      </w:tr>
    </w:tbl>
    <w:p w:rsidR="0034055A" w:rsidRPr="007078D3" w:rsidRDefault="0034055A" w:rsidP="00196DDD">
      <w:pPr>
        <w:rPr>
          <w:color w:val="000000"/>
        </w:rPr>
      </w:pPr>
      <w:r w:rsidRPr="007078D3">
        <w:rPr>
          <w:color w:val="000000"/>
        </w:rPr>
        <w:t>6.4. Wymagania dotyczące cech geometrycznych podbudowy pomocniczej</w:t>
      </w:r>
    </w:p>
    <w:p w:rsidR="0034055A" w:rsidRPr="007078D3" w:rsidRDefault="0034055A" w:rsidP="00196DDD">
      <w:pPr>
        <w:rPr>
          <w:color w:val="000000"/>
        </w:rPr>
      </w:pPr>
      <w:r w:rsidRPr="007078D3">
        <w:rPr>
          <w:color w:val="000000"/>
        </w:rPr>
        <w:t>Częstotliwość oraz zakres badań i pomiarów dotyczących cech geometrycznych warstwy z mieszanki niezwiązanej podaje tabeli 6.</w:t>
      </w:r>
    </w:p>
    <w:p w:rsidR="0034055A" w:rsidRPr="007078D3" w:rsidRDefault="0034055A" w:rsidP="00196DDD">
      <w:pPr>
        <w:rPr>
          <w:color w:val="000000"/>
        </w:rPr>
      </w:pPr>
      <w:r w:rsidRPr="007078D3">
        <w:rPr>
          <w:color w:val="000000"/>
        </w:rPr>
        <w:t>Tabela 6. Częstotliwość oraz zakres badań i pomiarów dotyczących cech geometrycznych</w:t>
      </w:r>
    </w:p>
    <w:tbl>
      <w:tblPr>
        <w:tblW w:w="8950" w:type="dxa"/>
        <w:shd w:val="clear" w:color="auto" w:fill="EAEAEA"/>
        <w:tblCellMar>
          <w:left w:w="0" w:type="dxa"/>
          <w:right w:w="0" w:type="dxa"/>
        </w:tblCellMar>
        <w:tblLook w:val="04A0"/>
      </w:tblPr>
      <w:tblGrid>
        <w:gridCol w:w="496"/>
        <w:gridCol w:w="3414"/>
        <w:gridCol w:w="2280"/>
        <w:gridCol w:w="2760"/>
      </w:tblGrid>
      <w:tr w:rsidR="0034055A" w:rsidRPr="00EF535A" w:rsidTr="0034055A">
        <w:tc>
          <w:tcPr>
            <w:tcW w:w="496" w:type="dxa"/>
            <w:tcBorders>
              <w:top w:val="single" w:sz="8" w:space="0" w:color="auto"/>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Lp.</w:t>
            </w:r>
          </w:p>
        </w:tc>
        <w:tc>
          <w:tcPr>
            <w:tcW w:w="3414"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Wyszczególnienie badań i pomiarów</w:t>
            </w:r>
          </w:p>
        </w:tc>
        <w:tc>
          <w:tcPr>
            <w:tcW w:w="2280"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Minimalna częstotliwość badań i pomiarów</w:t>
            </w:r>
          </w:p>
        </w:tc>
        <w:tc>
          <w:tcPr>
            <w:tcW w:w="2760"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Dopuszczalne odchyłki</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1</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Szerokość warstwy</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10 razy na 1 km</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+10 cm, -5 cm (różnice od szerokości projektowej)</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2</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Równość podłużna</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[25]</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[26]</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3</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Równość poprzeczna</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[26]</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[26]</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4</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Spadki poprzeczne </w:t>
            </w:r>
            <w:r w:rsidRPr="00EF535A">
              <w:rPr>
                <w:sz w:val="18"/>
                <w:szCs w:val="18"/>
                <w:vertAlign w:val="superscript"/>
              </w:rPr>
              <w:t>*)</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10 razy na 1 km</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0,5% (dopuszczalna tolerancja od spadków projektowych)</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5</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Rzędne wysokościowe</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[26]</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[26]</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6</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Ukształtowanie osi w planie </w:t>
            </w:r>
            <w:r w:rsidRPr="00EF535A">
              <w:rPr>
                <w:sz w:val="18"/>
                <w:szCs w:val="18"/>
                <w:vertAlign w:val="superscript"/>
              </w:rPr>
              <w:t>*)</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Co 100 m</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Przesunięcie od osi projektowanej ± 5 cm</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7</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Grubość warstwy</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 3 punktach na działce roboczej, lecz nie rzadziej niż raz na 2000 m</w:t>
            </w:r>
            <w:r w:rsidRPr="00EF535A">
              <w:rPr>
                <w:sz w:val="18"/>
                <w:szCs w:val="18"/>
                <w:vertAlign w:val="superscript"/>
              </w:rPr>
              <w:t>2</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Różnice od grubości projektowanej +10%,</w:t>
            </w:r>
            <w:r w:rsidRPr="00EF535A">
              <w:rPr>
                <w:sz w:val="18"/>
                <w:szCs w:val="18"/>
              </w:rPr>
              <w:br/>
              <w:t>-15%</w:t>
            </w:r>
          </w:p>
          <w:p w:rsidR="0034055A" w:rsidRPr="00EF535A" w:rsidRDefault="0034055A" w:rsidP="00196DDD">
            <w:pPr>
              <w:rPr>
                <w:sz w:val="18"/>
                <w:szCs w:val="18"/>
              </w:rPr>
            </w:pPr>
            <w:r w:rsidRPr="00EF535A">
              <w:rPr>
                <w:sz w:val="18"/>
                <w:szCs w:val="18"/>
              </w:rPr>
              <w:t> </w:t>
            </w:r>
          </w:p>
        </w:tc>
      </w:tr>
    </w:tbl>
    <w:p w:rsidR="0034055A" w:rsidRPr="007078D3" w:rsidRDefault="0034055A" w:rsidP="00196DDD">
      <w:pPr>
        <w:rPr>
          <w:color w:val="000000"/>
        </w:rPr>
      </w:pPr>
      <w:r w:rsidRPr="007078D3">
        <w:rPr>
          <w:color w:val="000000"/>
        </w:rPr>
        <w:t>*) Dodatkowe pomiary spadków poprzecznych i ukształtowania osi w planie należy wykonać w punktach głównych łuków poziomych.</w:t>
      </w:r>
    </w:p>
    <w:p w:rsidR="0034055A" w:rsidRPr="007078D3" w:rsidRDefault="0034055A" w:rsidP="00196DDD">
      <w:pPr>
        <w:rPr>
          <w:color w:val="000000"/>
        </w:rPr>
      </w:pPr>
      <w:r w:rsidRPr="007078D3">
        <w:rPr>
          <w:color w:val="000000"/>
        </w:rPr>
        <w:t>6.5. Wymagania dotyczące zagęszczenia warstwy podbudowy pomocniczej</w:t>
      </w:r>
    </w:p>
    <w:p w:rsidR="0034055A" w:rsidRPr="007078D3" w:rsidRDefault="0034055A" w:rsidP="00196DDD">
      <w:pPr>
        <w:rPr>
          <w:color w:val="000000"/>
        </w:rPr>
      </w:pPr>
      <w:r w:rsidRPr="007078D3">
        <w:rPr>
          <w:color w:val="000000"/>
        </w:rPr>
        <w:t>Kontrolę zagęszczenia i nośności podbudowy należy oprzeć na metodzie obciążeń płytowych za pomocą płyty VSS o średnicy 30 cm.</w:t>
      </w:r>
    </w:p>
    <w:p w:rsidR="0034055A" w:rsidRPr="007078D3" w:rsidRDefault="0034055A" w:rsidP="00196DDD">
      <w:pPr>
        <w:rPr>
          <w:color w:val="000000"/>
        </w:rPr>
      </w:pPr>
      <w:r w:rsidRPr="007078D3">
        <w:rPr>
          <w:color w:val="000000"/>
        </w:rPr>
        <w:t> Jeśli dokumentacja projektowa lub ST nie mówi inaczej wskaźnik zagęszczenia nie powinien być mniejszy od 1,00 dla dróg kategorii ruchu KR1 - KR4 i od 1,03 dla dróg kategorii ruchu KR5 - KR7). Zagęszczenie podbudowy stabilizowanej mechanicznie należy uznać za prawidłowe, gdy stosunek wtórnego modułu E</w:t>
      </w:r>
      <w:r w:rsidRPr="007078D3">
        <w:rPr>
          <w:color w:val="000000"/>
          <w:vertAlign w:val="subscript"/>
        </w:rPr>
        <w:t>2</w:t>
      </w:r>
      <w:r w:rsidRPr="007078D3">
        <w:rPr>
          <w:color w:val="000000"/>
        </w:rPr>
        <w:t> do pierwotnego modułu odkształcenia E</w:t>
      </w:r>
      <w:r w:rsidRPr="007078D3">
        <w:rPr>
          <w:color w:val="000000"/>
          <w:vertAlign w:val="subscript"/>
        </w:rPr>
        <w:t>1</w:t>
      </w:r>
      <w:r w:rsidRPr="007078D3">
        <w:rPr>
          <w:color w:val="000000"/>
        </w:rPr>
        <w:t> jest nie większy od 2,2 dla każdej warstwy konstrukcyjnej podbudowy.</w:t>
      </w:r>
    </w:p>
    <w:p w:rsidR="0034055A" w:rsidRPr="007078D3" w:rsidRDefault="0034055A" w:rsidP="00196DDD">
      <w:pPr>
        <w:rPr>
          <w:color w:val="000000"/>
        </w:rPr>
      </w:pPr>
      <w:r w:rsidRPr="007078D3">
        <w:rPr>
          <w:color w:val="000000"/>
        </w:rPr>
        <w:t>Jeśli dokumentacja projektowa lub ST nie mówi inaczej należy przyjąć nośności podbudowy pomocniczej podane w Tabeli 7 w oparciu o Katalogi [27], [28].</w:t>
      </w:r>
    </w:p>
    <w:p w:rsidR="0034055A" w:rsidRPr="007078D3" w:rsidRDefault="0034055A" w:rsidP="00196DDD">
      <w:pPr>
        <w:rPr>
          <w:color w:val="000000"/>
        </w:rPr>
      </w:pPr>
      <w:r w:rsidRPr="007078D3">
        <w:rPr>
          <w:color w:val="000000"/>
        </w:rPr>
        <w:t>Tabela 7. Typowe wartości nośności podbudowy pomocniczej (lub ogólnie na powierzchni dolnych warstw konstrukcji nawierzchni)</w:t>
      </w:r>
    </w:p>
    <w:tbl>
      <w:tblPr>
        <w:tblW w:w="0" w:type="auto"/>
        <w:shd w:val="clear" w:color="auto" w:fill="EAEAEA"/>
        <w:tblCellMar>
          <w:left w:w="0" w:type="dxa"/>
          <w:right w:w="0" w:type="dxa"/>
        </w:tblCellMar>
        <w:tblLook w:val="04A0"/>
      </w:tblPr>
      <w:tblGrid>
        <w:gridCol w:w="2231"/>
        <w:gridCol w:w="2130"/>
        <w:gridCol w:w="2410"/>
        <w:gridCol w:w="2156"/>
      </w:tblGrid>
      <w:tr w:rsidR="0034055A" w:rsidRPr="00EF535A" w:rsidTr="0034055A">
        <w:trPr>
          <w:trHeight w:val="227"/>
        </w:trPr>
        <w:tc>
          <w:tcPr>
            <w:tcW w:w="2231" w:type="dxa"/>
            <w:vMerge w:val="restart"/>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Badanie</w:t>
            </w:r>
          </w:p>
        </w:tc>
        <w:tc>
          <w:tcPr>
            <w:tcW w:w="6696" w:type="dxa"/>
            <w:gridSpan w:val="3"/>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Kategoria ruchu</w:t>
            </w:r>
          </w:p>
        </w:tc>
      </w:tr>
      <w:tr w:rsidR="0034055A" w:rsidRPr="00EF535A" w:rsidTr="0034055A">
        <w:trPr>
          <w:trHeight w:val="292"/>
        </w:trPr>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213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KR1 ÷ KR2</w:t>
            </w:r>
          </w:p>
        </w:tc>
        <w:tc>
          <w:tcPr>
            <w:tcW w:w="241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KR3 ÷ KR4</w:t>
            </w:r>
          </w:p>
        </w:tc>
        <w:tc>
          <w:tcPr>
            <w:tcW w:w="215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KR5 ÷ KR7</w:t>
            </w:r>
          </w:p>
        </w:tc>
      </w:tr>
      <w:tr w:rsidR="0034055A" w:rsidRPr="00EF535A" w:rsidTr="0034055A">
        <w:tc>
          <w:tcPr>
            <w:tcW w:w="2231"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Wtórny moduł odkształcenia E</w:t>
            </w:r>
            <w:r w:rsidRPr="00EF535A">
              <w:rPr>
                <w:sz w:val="18"/>
                <w:szCs w:val="18"/>
                <w:vertAlign w:val="subscript"/>
              </w:rPr>
              <w:t>2</w:t>
            </w:r>
          </w:p>
        </w:tc>
        <w:tc>
          <w:tcPr>
            <w:tcW w:w="213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80 MPa</w:t>
            </w:r>
          </w:p>
        </w:tc>
        <w:tc>
          <w:tcPr>
            <w:tcW w:w="241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100 MPa</w:t>
            </w:r>
          </w:p>
        </w:tc>
        <w:tc>
          <w:tcPr>
            <w:tcW w:w="215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120 MPa</w:t>
            </w:r>
          </w:p>
        </w:tc>
      </w:tr>
    </w:tbl>
    <w:p w:rsidR="0034055A" w:rsidRPr="007078D3" w:rsidRDefault="0034055A" w:rsidP="00196DDD">
      <w:pPr>
        <w:rPr>
          <w:caps/>
          <w:color w:val="000000"/>
        </w:rPr>
      </w:pPr>
      <w:bookmarkStart w:id="1027" w:name="_Toc348096812"/>
      <w:r w:rsidRPr="007078D3">
        <w:rPr>
          <w:caps/>
          <w:color w:val="000000"/>
        </w:rPr>
        <w:lastRenderedPageBreak/>
        <w:t>7. OBMIAR ROBÓT</w:t>
      </w:r>
      <w:bookmarkEnd w:id="1027"/>
    </w:p>
    <w:p w:rsidR="0034055A" w:rsidRPr="007078D3" w:rsidRDefault="0034055A" w:rsidP="00196DDD">
      <w:pPr>
        <w:rPr>
          <w:color w:val="000000"/>
        </w:rPr>
      </w:pPr>
      <w:r w:rsidRPr="007078D3">
        <w:rPr>
          <w:color w:val="000000"/>
        </w:rPr>
        <w:t>7.1. Ogólne zasady obmiaru robót</w:t>
      </w:r>
    </w:p>
    <w:p w:rsidR="0034055A" w:rsidRPr="007078D3" w:rsidRDefault="0034055A" w:rsidP="00196DDD">
      <w:pPr>
        <w:rPr>
          <w:color w:val="000000"/>
        </w:rPr>
      </w:pPr>
      <w:r w:rsidRPr="007078D3">
        <w:rPr>
          <w:color w:val="000000"/>
        </w:rPr>
        <w:t xml:space="preserve">            Ogólne zasady obmiaru robót podano w </w:t>
      </w:r>
      <w:r w:rsidR="00985629">
        <w:rPr>
          <w:color w:val="000000"/>
        </w:rPr>
        <w:t>SST</w:t>
      </w:r>
      <w:r w:rsidRPr="007078D3">
        <w:rPr>
          <w:color w:val="000000"/>
        </w:rPr>
        <w:t>  D-M-00.00.00 „Wymagania ogólne” [1], pkt 7.</w:t>
      </w:r>
    </w:p>
    <w:p w:rsidR="0034055A" w:rsidRPr="007078D3" w:rsidRDefault="0034055A" w:rsidP="00196DDD">
      <w:pPr>
        <w:rPr>
          <w:color w:val="000000"/>
        </w:rPr>
      </w:pPr>
      <w:r w:rsidRPr="007078D3">
        <w:rPr>
          <w:color w:val="000000"/>
        </w:rPr>
        <w:t>7.2. Jednostka obmiarowa</w:t>
      </w:r>
    </w:p>
    <w:p w:rsidR="0034055A" w:rsidRPr="007078D3" w:rsidRDefault="0034055A" w:rsidP="00196DDD">
      <w:pPr>
        <w:rPr>
          <w:color w:val="000000"/>
        </w:rPr>
      </w:pPr>
      <w:r w:rsidRPr="007078D3">
        <w:rPr>
          <w:color w:val="000000"/>
        </w:rPr>
        <w:t>            Jednostką obmiarową jest m</w:t>
      </w:r>
      <w:r w:rsidRPr="007078D3">
        <w:rPr>
          <w:color w:val="000000"/>
          <w:vertAlign w:val="superscript"/>
        </w:rPr>
        <w:t>2</w:t>
      </w:r>
      <w:r w:rsidRPr="007078D3">
        <w:rPr>
          <w:color w:val="000000"/>
        </w:rPr>
        <w:t> (metr kwadratowy) wykonanej warstwy.</w:t>
      </w:r>
    </w:p>
    <w:p w:rsidR="0034055A" w:rsidRPr="007078D3" w:rsidRDefault="0034055A" w:rsidP="00196DDD">
      <w:pPr>
        <w:rPr>
          <w:caps/>
          <w:color w:val="000000"/>
        </w:rPr>
      </w:pPr>
      <w:bookmarkStart w:id="1028" w:name="_Toc348096813"/>
      <w:r w:rsidRPr="007078D3">
        <w:rPr>
          <w:caps/>
          <w:color w:val="000000"/>
        </w:rPr>
        <w:t>8. ODBIÓR ROBÓT</w:t>
      </w:r>
      <w:bookmarkEnd w:id="1028"/>
    </w:p>
    <w:p w:rsidR="0034055A" w:rsidRPr="007078D3" w:rsidRDefault="0034055A" w:rsidP="00196DDD">
      <w:pPr>
        <w:rPr>
          <w:color w:val="000000"/>
        </w:rPr>
      </w:pPr>
      <w:r w:rsidRPr="007078D3">
        <w:rPr>
          <w:color w:val="000000"/>
        </w:rPr>
        <w:t xml:space="preserve">Ogólne zasady odbioru robót podano w </w:t>
      </w:r>
      <w:r w:rsidR="00985629">
        <w:rPr>
          <w:color w:val="000000"/>
        </w:rPr>
        <w:t>SST</w:t>
      </w:r>
      <w:r w:rsidRPr="007078D3">
        <w:rPr>
          <w:color w:val="000000"/>
        </w:rPr>
        <w:t>  D-M-00.00.00 „Wymagania ogólne” [1], pkt 8.</w:t>
      </w:r>
    </w:p>
    <w:p w:rsidR="0034055A" w:rsidRPr="007078D3" w:rsidRDefault="0034055A" w:rsidP="00196DDD">
      <w:pPr>
        <w:rPr>
          <w:color w:val="000000"/>
        </w:rPr>
      </w:pPr>
      <w:r w:rsidRPr="007078D3">
        <w:rPr>
          <w:color w:val="000000"/>
        </w:rPr>
        <w:t>            Roboty uznaje się za wykonane zgodnie z dokumentacją projektową, ST i wymaganiami Inżyniera, jeżeli wszystkie pomiary i badania z zachowaniem tolerancji według punktu 6 dały wyniki pozytywne.</w:t>
      </w:r>
    </w:p>
    <w:p w:rsidR="0034055A" w:rsidRPr="007078D3" w:rsidRDefault="0034055A" w:rsidP="00196DDD">
      <w:pPr>
        <w:rPr>
          <w:caps/>
          <w:color w:val="000000"/>
        </w:rPr>
      </w:pPr>
      <w:bookmarkStart w:id="1029" w:name="_Toc348096814"/>
      <w:r w:rsidRPr="007078D3">
        <w:rPr>
          <w:caps/>
          <w:color w:val="000000"/>
        </w:rPr>
        <w:t>9. PODSTAWA PŁATNOŚCI</w:t>
      </w:r>
      <w:bookmarkEnd w:id="1029"/>
    </w:p>
    <w:p w:rsidR="0034055A" w:rsidRPr="007078D3" w:rsidRDefault="0034055A" w:rsidP="00196DDD">
      <w:pPr>
        <w:rPr>
          <w:color w:val="000000"/>
        </w:rPr>
      </w:pPr>
      <w:r w:rsidRPr="007078D3">
        <w:rPr>
          <w:color w:val="000000"/>
        </w:rPr>
        <w:t>9.1. Ogólne ustalenia dotyczące podstawy płatności</w:t>
      </w:r>
    </w:p>
    <w:p w:rsidR="0034055A" w:rsidRPr="007078D3" w:rsidRDefault="0034055A" w:rsidP="00196DDD">
      <w:pPr>
        <w:rPr>
          <w:color w:val="000000"/>
        </w:rPr>
      </w:pPr>
      <w:r w:rsidRPr="007078D3">
        <w:rPr>
          <w:color w:val="000000"/>
        </w:rPr>
        <w:t xml:space="preserve">            Ogólne ustalenia dotyczące podstawy płatności podano w </w:t>
      </w:r>
      <w:r w:rsidR="00985629">
        <w:rPr>
          <w:color w:val="000000"/>
        </w:rPr>
        <w:t>SST</w:t>
      </w:r>
      <w:r w:rsidRPr="007078D3">
        <w:rPr>
          <w:color w:val="000000"/>
        </w:rPr>
        <w:t xml:space="preserve"> D-M-00.00.00 „Wymagania ogólne” [1], pkt 9.</w:t>
      </w:r>
    </w:p>
    <w:p w:rsidR="0034055A" w:rsidRPr="007078D3" w:rsidRDefault="0034055A" w:rsidP="00196DDD">
      <w:pPr>
        <w:rPr>
          <w:color w:val="000000"/>
        </w:rPr>
      </w:pPr>
      <w:r w:rsidRPr="007078D3">
        <w:rPr>
          <w:color w:val="000000"/>
        </w:rPr>
        <w:t>9.2. Cena jednostki obmiarowej</w:t>
      </w:r>
    </w:p>
    <w:p w:rsidR="0034055A" w:rsidRPr="007078D3" w:rsidRDefault="0034055A" w:rsidP="00196DDD">
      <w:pPr>
        <w:rPr>
          <w:color w:val="000000"/>
        </w:rPr>
      </w:pPr>
      <w:r w:rsidRPr="007078D3">
        <w:rPr>
          <w:color w:val="000000"/>
        </w:rPr>
        <w:t>            Cena wykonania  jednostki obmiarowej (1 m</w:t>
      </w:r>
      <w:r w:rsidRPr="007078D3">
        <w:rPr>
          <w:color w:val="000000"/>
          <w:vertAlign w:val="superscript"/>
        </w:rPr>
        <w:t>2</w:t>
      </w:r>
      <w:r w:rsidRPr="007078D3">
        <w:rPr>
          <w:color w:val="000000"/>
        </w:rPr>
        <w:t>) obejmuje:</w:t>
      </w:r>
    </w:p>
    <w:p w:rsidR="0034055A" w:rsidRPr="007078D3" w:rsidRDefault="0034055A" w:rsidP="00196DDD">
      <w:pPr>
        <w:rPr>
          <w:color w:val="000000"/>
        </w:rPr>
      </w:pPr>
      <w:r w:rsidRPr="007078D3">
        <w:rPr>
          <w:color w:val="000000"/>
        </w:rPr>
        <w:t>-     prace pomiarowe i roboty przygotowawcze,</w:t>
      </w:r>
    </w:p>
    <w:p w:rsidR="0034055A" w:rsidRPr="007078D3" w:rsidRDefault="0034055A" w:rsidP="00196DDD">
      <w:pPr>
        <w:rPr>
          <w:color w:val="000000"/>
        </w:rPr>
      </w:pPr>
      <w:r w:rsidRPr="007078D3">
        <w:rPr>
          <w:color w:val="000000"/>
        </w:rPr>
        <w:t>-     oznakowanie robót,</w:t>
      </w:r>
    </w:p>
    <w:p w:rsidR="0034055A" w:rsidRPr="007078D3" w:rsidRDefault="0034055A" w:rsidP="00196DDD">
      <w:pPr>
        <w:rPr>
          <w:color w:val="000000"/>
        </w:rPr>
      </w:pPr>
      <w:r w:rsidRPr="007078D3">
        <w:rPr>
          <w:color w:val="000000"/>
        </w:rPr>
        <w:t>-     dostarczenie materiałów i sprzętu,</w:t>
      </w:r>
    </w:p>
    <w:p w:rsidR="0034055A" w:rsidRPr="007078D3" w:rsidRDefault="0034055A" w:rsidP="00196DDD">
      <w:pPr>
        <w:rPr>
          <w:color w:val="000000"/>
        </w:rPr>
      </w:pPr>
      <w:r w:rsidRPr="007078D3">
        <w:rPr>
          <w:color w:val="000000"/>
        </w:rPr>
        <w:t>-     przygotowanie mieszanki z kruszywa, zgodnie z receptą,</w:t>
      </w:r>
    </w:p>
    <w:p w:rsidR="0034055A" w:rsidRPr="007078D3" w:rsidRDefault="0034055A" w:rsidP="00196DDD">
      <w:pPr>
        <w:rPr>
          <w:color w:val="000000"/>
        </w:rPr>
      </w:pPr>
      <w:r w:rsidRPr="007078D3">
        <w:rPr>
          <w:color w:val="000000"/>
        </w:rPr>
        <w:t>-     dostarczenie mieszanki na miejsce wbudowania,</w:t>
      </w:r>
    </w:p>
    <w:p w:rsidR="0034055A" w:rsidRPr="007078D3" w:rsidRDefault="0034055A" w:rsidP="00196DDD">
      <w:pPr>
        <w:rPr>
          <w:color w:val="000000"/>
        </w:rPr>
      </w:pPr>
      <w:r w:rsidRPr="007078D3">
        <w:rPr>
          <w:color w:val="000000"/>
        </w:rPr>
        <w:t>-     rozłożenie mieszanki,</w:t>
      </w:r>
    </w:p>
    <w:p w:rsidR="0034055A" w:rsidRPr="007078D3" w:rsidRDefault="0034055A" w:rsidP="00196DDD">
      <w:pPr>
        <w:rPr>
          <w:color w:val="000000"/>
        </w:rPr>
      </w:pPr>
      <w:r w:rsidRPr="007078D3">
        <w:rPr>
          <w:color w:val="000000"/>
        </w:rPr>
        <w:t>-     zagęszczenie mieszanki,</w:t>
      </w:r>
    </w:p>
    <w:p w:rsidR="0034055A" w:rsidRPr="007078D3" w:rsidRDefault="0034055A" w:rsidP="00196DDD">
      <w:pPr>
        <w:rPr>
          <w:color w:val="000000"/>
        </w:rPr>
      </w:pPr>
      <w:r w:rsidRPr="007078D3">
        <w:rPr>
          <w:color w:val="000000"/>
        </w:rPr>
        <w:t>-     utrzymanie warstwy w czasie robót,</w:t>
      </w:r>
    </w:p>
    <w:p w:rsidR="0034055A" w:rsidRPr="007078D3" w:rsidRDefault="0034055A" w:rsidP="00196DDD">
      <w:pPr>
        <w:rPr>
          <w:color w:val="000000"/>
        </w:rPr>
      </w:pPr>
      <w:r w:rsidRPr="007078D3">
        <w:rPr>
          <w:color w:val="000000"/>
        </w:rPr>
        <w:t>-     przeprowadzenie wymaganych  pomiarów i badań,</w:t>
      </w:r>
    </w:p>
    <w:p w:rsidR="0034055A" w:rsidRPr="007078D3" w:rsidRDefault="0034055A" w:rsidP="00196DDD">
      <w:pPr>
        <w:rPr>
          <w:color w:val="000000"/>
        </w:rPr>
      </w:pPr>
      <w:r w:rsidRPr="007078D3">
        <w:rPr>
          <w:color w:val="000000"/>
        </w:rPr>
        <w:t>-     uporządkowanie terenu robót i jego otoczenia,</w:t>
      </w:r>
    </w:p>
    <w:p w:rsidR="0034055A" w:rsidRPr="007078D3" w:rsidRDefault="0034055A" w:rsidP="00196DDD">
      <w:pPr>
        <w:rPr>
          <w:color w:val="000000"/>
        </w:rPr>
      </w:pPr>
      <w:r w:rsidRPr="007078D3">
        <w:rPr>
          <w:color w:val="000000"/>
        </w:rPr>
        <w:t>-     roboty wykończeniowe,</w:t>
      </w:r>
    </w:p>
    <w:p w:rsidR="0034055A" w:rsidRPr="007078D3" w:rsidRDefault="0034055A" w:rsidP="00196DDD">
      <w:pPr>
        <w:rPr>
          <w:color w:val="000000"/>
        </w:rPr>
      </w:pPr>
      <w:r w:rsidRPr="007078D3">
        <w:rPr>
          <w:color w:val="000000"/>
        </w:rPr>
        <w:t>-     odwiezienie sprzętu.</w:t>
      </w:r>
    </w:p>
    <w:p w:rsidR="0034055A" w:rsidRPr="007078D3" w:rsidRDefault="0034055A" w:rsidP="00196DDD">
      <w:pPr>
        <w:rPr>
          <w:color w:val="000000"/>
        </w:rPr>
      </w:pPr>
      <w:r w:rsidRPr="007078D3">
        <w:rPr>
          <w:color w:val="000000"/>
        </w:rPr>
        <w:t>Wszystkie roboty powinny być wykonane według wymagań dokumentacji projektowej, ST, specyfikacji technicznej i postanowień Inżyniera.</w:t>
      </w:r>
    </w:p>
    <w:p w:rsidR="0034055A" w:rsidRPr="007078D3" w:rsidRDefault="0034055A" w:rsidP="00196DDD">
      <w:pPr>
        <w:rPr>
          <w:color w:val="000000"/>
        </w:rPr>
      </w:pPr>
      <w:r w:rsidRPr="007078D3">
        <w:rPr>
          <w:color w:val="000000"/>
        </w:rPr>
        <w:t>9.3. Sposób rozliczenia robót tymczasowych i prac towarzyszących</w:t>
      </w:r>
    </w:p>
    <w:p w:rsidR="0034055A" w:rsidRPr="007078D3" w:rsidRDefault="0034055A" w:rsidP="00196DDD">
      <w:pPr>
        <w:rPr>
          <w:color w:val="000000"/>
        </w:rPr>
      </w:pPr>
      <w:r w:rsidRPr="007078D3">
        <w:rPr>
          <w:color w:val="000000"/>
        </w:rPr>
        <w:t xml:space="preserve">            Cena wykonania robót określonych niniejszą </w:t>
      </w:r>
      <w:r w:rsidR="00985629">
        <w:rPr>
          <w:color w:val="000000"/>
        </w:rPr>
        <w:t>SST</w:t>
      </w:r>
      <w:r w:rsidRPr="007078D3">
        <w:rPr>
          <w:color w:val="000000"/>
        </w:rPr>
        <w:t xml:space="preserve"> obejmuje:</w:t>
      </w:r>
    </w:p>
    <w:p w:rsidR="0034055A" w:rsidRPr="007078D3" w:rsidRDefault="0034055A" w:rsidP="00196DDD">
      <w:pPr>
        <w:rPr>
          <w:color w:val="000000"/>
        </w:rPr>
      </w:pPr>
      <w:r w:rsidRPr="007078D3">
        <w:rPr>
          <w:color w:val="000000"/>
        </w:rPr>
        <w:t>-     roboty tymczasowe, które są potrzebne do wykonania robót podstawowych, ale nie są przekazywane Zamawiającemu i są usuwane po wykonaniu robót podstawowych,</w:t>
      </w:r>
    </w:p>
    <w:p w:rsidR="0034055A" w:rsidRPr="007078D3" w:rsidRDefault="0034055A" w:rsidP="00196DDD">
      <w:pPr>
        <w:rPr>
          <w:color w:val="000000"/>
        </w:rPr>
      </w:pPr>
      <w:r w:rsidRPr="007078D3">
        <w:rPr>
          <w:color w:val="000000"/>
        </w:rPr>
        <w:t>-     prace towarzyszące, które są niezbędne do wykonania robót podstawowych, niezaliczane do robót tymczasowych, jak geodezyjne wytyczenie robót itd.</w:t>
      </w:r>
    </w:p>
    <w:p w:rsidR="0034055A" w:rsidRPr="007078D3" w:rsidRDefault="0034055A" w:rsidP="00196DDD">
      <w:pPr>
        <w:rPr>
          <w:caps/>
          <w:color w:val="000000"/>
        </w:rPr>
      </w:pPr>
      <w:bookmarkStart w:id="1030" w:name="_Toc348096815"/>
      <w:r w:rsidRPr="007078D3">
        <w:rPr>
          <w:caps/>
          <w:color w:val="000000"/>
        </w:rPr>
        <w:t>10. PRZEPISY ZWIĄZANE</w:t>
      </w:r>
      <w:bookmarkEnd w:id="1030"/>
    </w:p>
    <w:p w:rsidR="0034055A" w:rsidRPr="007078D3" w:rsidRDefault="0034055A" w:rsidP="00196DDD">
      <w:pPr>
        <w:rPr>
          <w:color w:val="000000"/>
        </w:rPr>
      </w:pPr>
      <w:r w:rsidRPr="007078D3">
        <w:rPr>
          <w:color w:val="000000"/>
        </w:rPr>
        <w:t>10.1. Ogólne specyfikacje techniczne (</w:t>
      </w:r>
      <w:r w:rsidR="00985629">
        <w:rPr>
          <w:color w:val="000000"/>
        </w:rPr>
        <w:t>SST</w:t>
      </w:r>
      <w:r w:rsidRPr="007078D3">
        <w:rPr>
          <w:color w:val="000000"/>
        </w:rPr>
        <w:t>)</w:t>
      </w:r>
    </w:p>
    <w:p w:rsidR="0034055A" w:rsidRPr="007078D3" w:rsidRDefault="0034055A" w:rsidP="00196DDD">
      <w:pPr>
        <w:rPr>
          <w:color w:val="000000"/>
        </w:rPr>
      </w:pPr>
      <w:r w:rsidRPr="007078D3">
        <w:rPr>
          <w:color w:val="000000"/>
        </w:rPr>
        <w:t>     1.      D-M-00.00.00   Wymagania ogólne</w:t>
      </w:r>
    </w:p>
    <w:p w:rsidR="0034055A" w:rsidRPr="007078D3" w:rsidRDefault="0034055A" w:rsidP="00196DDD">
      <w:pPr>
        <w:rPr>
          <w:color w:val="000000"/>
        </w:rPr>
      </w:pPr>
      <w:r w:rsidRPr="007078D3">
        <w:rPr>
          <w:color w:val="000000"/>
        </w:rPr>
        <w:t>     2.      D-01.00.00        Roboty przygotowawcze</w:t>
      </w:r>
    </w:p>
    <w:p w:rsidR="0034055A" w:rsidRPr="007078D3" w:rsidRDefault="0034055A" w:rsidP="00196DDD">
      <w:pPr>
        <w:rPr>
          <w:color w:val="000000"/>
        </w:rPr>
      </w:pPr>
      <w:r w:rsidRPr="007078D3">
        <w:rPr>
          <w:color w:val="000000"/>
        </w:rPr>
        <w:t>     3.      D-02.00.00        Roboty ziemne</w:t>
      </w:r>
    </w:p>
    <w:p w:rsidR="0034055A" w:rsidRPr="007078D3" w:rsidRDefault="0034055A" w:rsidP="00196DDD">
      <w:pPr>
        <w:rPr>
          <w:color w:val="000000"/>
        </w:rPr>
      </w:pPr>
      <w:r w:rsidRPr="007078D3">
        <w:rPr>
          <w:color w:val="000000"/>
        </w:rPr>
        <w:t xml:space="preserve">     4.      D-04.01.01        Koryto wraz z profilowaniem i zagęszczeniem podłoża (zawarte w </w:t>
      </w:r>
      <w:r w:rsidR="00985629">
        <w:rPr>
          <w:color w:val="000000"/>
        </w:rPr>
        <w:t>SST</w:t>
      </w:r>
      <w:r w:rsidRPr="007078D3">
        <w:rPr>
          <w:color w:val="000000"/>
        </w:rPr>
        <w:t xml:space="preserve"> D-04.01.01÷04.03.01 Dolne warstwy podbudów oraz oczyszczenie i skropienie)</w:t>
      </w:r>
    </w:p>
    <w:p w:rsidR="0034055A" w:rsidRPr="007078D3" w:rsidRDefault="0034055A" w:rsidP="00196DDD">
      <w:pPr>
        <w:rPr>
          <w:color w:val="000000"/>
        </w:rPr>
      </w:pPr>
      <w:r w:rsidRPr="007078D3">
        <w:rPr>
          <w:color w:val="000000"/>
        </w:rPr>
        <w:t xml:space="preserve">     5.      D-04.02.01        Warstwy odsączające i odcinające  (zawarte w </w:t>
      </w:r>
      <w:r w:rsidR="00985629">
        <w:rPr>
          <w:color w:val="000000"/>
        </w:rPr>
        <w:t>SST</w:t>
      </w:r>
      <w:r w:rsidRPr="007078D3">
        <w:rPr>
          <w:color w:val="000000"/>
        </w:rPr>
        <w:t xml:space="preserve"> D-04.01.01÷04.03.01 Dolne warstwy podbudów oraz oczyszczenie i skropienie)</w:t>
      </w:r>
    </w:p>
    <w:p w:rsidR="0034055A" w:rsidRPr="007078D3" w:rsidRDefault="0034055A" w:rsidP="00196DDD">
      <w:pPr>
        <w:rPr>
          <w:color w:val="000000"/>
        </w:rPr>
      </w:pPr>
      <w:r w:rsidRPr="007078D3">
        <w:rPr>
          <w:color w:val="000000"/>
        </w:rPr>
        <w:t>     6.      D-04.02.01a      Warstwa odcinająca z geowłókniny</w:t>
      </w:r>
    </w:p>
    <w:p w:rsidR="0034055A" w:rsidRPr="007078D3" w:rsidRDefault="0034055A" w:rsidP="00196DDD">
      <w:pPr>
        <w:rPr>
          <w:color w:val="000000"/>
        </w:rPr>
      </w:pPr>
      <w:r w:rsidRPr="007078D3">
        <w:rPr>
          <w:color w:val="000000"/>
        </w:rPr>
        <w:t>     7.      D-04.04.00a      Podłoże ulepszone z mieszanki kruszywa niezwiązanego</w:t>
      </w:r>
    </w:p>
    <w:p w:rsidR="0034055A" w:rsidRPr="007078D3" w:rsidRDefault="0034055A" w:rsidP="00196DDD">
      <w:pPr>
        <w:rPr>
          <w:color w:val="000000"/>
        </w:rPr>
      </w:pPr>
      <w:r w:rsidRPr="007078D3">
        <w:rPr>
          <w:color w:val="000000"/>
        </w:rPr>
        <w:t>10.2. Normy</w:t>
      </w:r>
    </w:p>
    <w:p w:rsidR="0034055A" w:rsidRPr="007078D3" w:rsidRDefault="0034055A" w:rsidP="00196DDD">
      <w:pPr>
        <w:rPr>
          <w:color w:val="000000"/>
        </w:rPr>
      </w:pPr>
      <w:r w:rsidRPr="007078D3">
        <w:rPr>
          <w:color w:val="000000"/>
        </w:rPr>
        <w:t>     8.      PN-EN 933-1         Badania geometrycznych właściwości kruszyw – Oznaczanie składu ziarnowego – Metoda przesiewania</w:t>
      </w:r>
    </w:p>
    <w:p w:rsidR="0034055A" w:rsidRPr="007078D3" w:rsidRDefault="0034055A" w:rsidP="00196DDD">
      <w:pPr>
        <w:rPr>
          <w:color w:val="000000"/>
        </w:rPr>
      </w:pPr>
      <w:r w:rsidRPr="007078D3">
        <w:rPr>
          <w:color w:val="000000"/>
        </w:rPr>
        <w:t>     9.      PN-EN 933-3         Badania geometrycznych właściwości kruszyw – Oznaczanie kształtu ziaren za pomocą wskaźnika płaskości</w:t>
      </w:r>
    </w:p>
    <w:p w:rsidR="0034055A" w:rsidRPr="007078D3" w:rsidRDefault="0034055A" w:rsidP="00196DDD">
      <w:pPr>
        <w:rPr>
          <w:color w:val="000000"/>
        </w:rPr>
      </w:pPr>
      <w:r w:rsidRPr="007078D3">
        <w:rPr>
          <w:color w:val="000000"/>
        </w:rPr>
        <w:t>  10.      PN-EN 933-4         Badania geometrycznych właściwości kruszyw – Oznaczanie kształtu ziaren – Wskaźnik kształtu</w:t>
      </w:r>
    </w:p>
    <w:p w:rsidR="0034055A" w:rsidRPr="007078D3" w:rsidRDefault="0034055A" w:rsidP="00196DDD">
      <w:pPr>
        <w:rPr>
          <w:color w:val="000000"/>
        </w:rPr>
      </w:pPr>
      <w:r w:rsidRPr="007078D3">
        <w:rPr>
          <w:color w:val="000000"/>
        </w:rPr>
        <w:t>  11.      PN-EN 933-5         Badania geometrycznych właściwości kruszyw – Oznaczanie procentowej zawartości ziarn o powierzchniach powstałych w wyniku przekruszenia lub łamania kruszyw grubych</w:t>
      </w:r>
    </w:p>
    <w:p w:rsidR="0034055A" w:rsidRPr="007078D3" w:rsidRDefault="0034055A" w:rsidP="00196DDD">
      <w:pPr>
        <w:rPr>
          <w:color w:val="000000"/>
        </w:rPr>
      </w:pPr>
      <w:r w:rsidRPr="007078D3">
        <w:rPr>
          <w:color w:val="000000"/>
        </w:rPr>
        <w:t>  12.      PN-EN 1097-1       Badania mechanicznych i fizycznych właściwości kruszyw – Oznaczanie odporności na ścieranie (mikro-Deval)</w:t>
      </w:r>
    </w:p>
    <w:p w:rsidR="0034055A" w:rsidRPr="007078D3" w:rsidRDefault="0034055A" w:rsidP="00196DDD">
      <w:pPr>
        <w:rPr>
          <w:color w:val="000000"/>
        </w:rPr>
      </w:pPr>
      <w:r w:rsidRPr="007078D3">
        <w:rPr>
          <w:color w:val="000000"/>
        </w:rPr>
        <w:t>  13.      PN-EN 1097-2       Badania mechanicznych i fizycznych właściwości kruszyw – Metody oznaczania odporności na rozdrabnianie</w:t>
      </w:r>
    </w:p>
    <w:p w:rsidR="0034055A" w:rsidRPr="007078D3" w:rsidRDefault="0034055A" w:rsidP="00196DDD">
      <w:pPr>
        <w:rPr>
          <w:color w:val="000000"/>
        </w:rPr>
      </w:pPr>
      <w:r w:rsidRPr="007078D3">
        <w:rPr>
          <w:color w:val="000000"/>
        </w:rPr>
        <w:t>  14.      PN-EN 1097-6       Badania mechanicznych i fizycznych właściwości kruszyw – Część 6: Oznaczanie gęstości ziarn i nasiąkliwości</w:t>
      </w:r>
    </w:p>
    <w:p w:rsidR="0034055A" w:rsidRPr="007078D3" w:rsidRDefault="0034055A" w:rsidP="00196DDD">
      <w:pPr>
        <w:rPr>
          <w:color w:val="000000"/>
        </w:rPr>
      </w:pPr>
      <w:r w:rsidRPr="007078D3">
        <w:rPr>
          <w:color w:val="000000"/>
        </w:rPr>
        <w:t>  15.      PN-EN 1367-1       Badania właściwości cieplnych i odporności kruszyw na działanie czynników atmosferycznych – Część 1: Oznaczanie mrozoodporności</w:t>
      </w:r>
    </w:p>
    <w:p w:rsidR="0034055A" w:rsidRPr="007078D3" w:rsidRDefault="0034055A" w:rsidP="00196DDD">
      <w:pPr>
        <w:rPr>
          <w:color w:val="000000"/>
        </w:rPr>
      </w:pPr>
      <w:r w:rsidRPr="007078D3">
        <w:rPr>
          <w:color w:val="000000"/>
        </w:rPr>
        <w:t>  16.      PN-EN 1367-3       Badania właściwości cieplnych i odporności kruszyw na działanie czynników atmosferycznych – Część 3: Badanie bazaltowej zgorzeli słonecznej metodą gotowania</w:t>
      </w:r>
    </w:p>
    <w:p w:rsidR="0034055A" w:rsidRPr="007078D3" w:rsidRDefault="0034055A" w:rsidP="00196DDD">
      <w:pPr>
        <w:rPr>
          <w:color w:val="000000"/>
        </w:rPr>
      </w:pPr>
      <w:r w:rsidRPr="007078D3">
        <w:rPr>
          <w:color w:val="000000"/>
        </w:rPr>
        <w:t>  17.      PN-EN 1744-1       Badania chemicznych właściwości kruszyw – Analiza chemiczna</w:t>
      </w:r>
    </w:p>
    <w:p w:rsidR="0034055A" w:rsidRPr="007078D3" w:rsidRDefault="0034055A" w:rsidP="00196DDD">
      <w:pPr>
        <w:rPr>
          <w:color w:val="000000"/>
        </w:rPr>
      </w:pPr>
      <w:r w:rsidRPr="007078D3">
        <w:rPr>
          <w:color w:val="000000"/>
        </w:rPr>
        <w:t>  18.      PN-EN 1744-3       Badania chemicznych właściwości kruszyw – Część 3: Przygotowanie wyciągów przez wymywanie kruszyw</w:t>
      </w:r>
    </w:p>
    <w:p w:rsidR="0034055A" w:rsidRPr="007078D3" w:rsidRDefault="0034055A" w:rsidP="00196DDD">
      <w:pPr>
        <w:rPr>
          <w:color w:val="000000"/>
        </w:rPr>
      </w:pPr>
      <w:r w:rsidRPr="007078D3">
        <w:rPr>
          <w:color w:val="000000"/>
        </w:rPr>
        <w:t>  19.      PN-EN 13242        Kruszywa do niezwiązanych i związanych hydraulicznie materiałów stosowanych w obiektach budowlanych i budownictwie drogowym</w:t>
      </w:r>
    </w:p>
    <w:p w:rsidR="0034055A" w:rsidRPr="007078D3" w:rsidRDefault="0034055A" w:rsidP="00196DDD">
      <w:pPr>
        <w:rPr>
          <w:color w:val="000000"/>
        </w:rPr>
      </w:pPr>
      <w:r w:rsidRPr="007078D3">
        <w:rPr>
          <w:color w:val="000000"/>
        </w:rPr>
        <w:t>  20.      PN-EN 13285        Mieszanki niezwiązane – Wymagania</w:t>
      </w:r>
    </w:p>
    <w:p w:rsidR="0034055A" w:rsidRPr="007078D3" w:rsidRDefault="0034055A" w:rsidP="00196DDD">
      <w:pPr>
        <w:rPr>
          <w:color w:val="000000"/>
        </w:rPr>
      </w:pPr>
      <w:r w:rsidRPr="007078D3">
        <w:rPr>
          <w:color w:val="000000"/>
        </w:rPr>
        <w:lastRenderedPageBreak/>
        <w:t>  21.      PN-EN 13286-2     Mieszanki niezwiązane i związane spoiwem hydraulicznym – Część 2: Metody określania gęstości i zawartości wody – Zagęszczanie metodą Proctora</w:t>
      </w:r>
    </w:p>
    <w:p w:rsidR="0034055A" w:rsidRPr="007078D3" w:rsidRDefault="0034055A" w:rsidP="00196DDD">
      <w:pPr>
        <w:rPr>
          <w:color w:val="000000"/>
        </w:rPr>
      </w:pPr>
      <w:r w:rsidRPr="007078D3">
        <w:rPr>
          <w:color w:val="000000"/>
        </w:rPr>
        <w:t>  22.      PN-EN 13286-47   Mieszanki niezwiązane i związane spoiwem hydraulicznym – Część 47: Metody badań dla określenia nośności, kalifornijski wskaźnik nośności CBR, natychmiastowy wskaźnik nośności i pęcznienia liniowego</w:t>
      </w:r>
    </w:p>
    <w:p w:rsidR="0034055A" w:rsidRPr="007078D3" w:rsidRDefault="0034055A" w:rsidP="00196DDD">
      <w:pPr>
        <w:rPr>
          <w:color w:val="000000"/>
        </w:rPr>
      </w:pPr>
      <w:r w:rsidRPr="007078D3">
        <w:rPr>
          <w:color w:val="000000"/>
        </w:rPr>
        <w:t>  23.      ISO/TS 17892-11  Badania geotechniczne – Badania laboratoryjne gruntów – Część 11: Oznaczanie filtracji przy stałym i obniżającym spadku hydraulicznym</w:t>
      </w:r>
    </w:p>
    <w:p w:rsidR="0034055A" w:rsidRPr="007078D3" w:rsidRDefault="0034055A" w:rsidP="00196DDD">
      <w:pPr>
        <w:rPr>
          <w:color w:val="000000"/>
        </w:rPr>
      </w:pPr>
      <w:r w:rsidRPr="007078D3">
        <w:rPr>
          <w:color w:val="000000"/>
        </w:rPr>
        <w:t>  24.     PN-EN 1008          Woda zarobowa do betonu -- Specyfikacja pobierania próbek, badanie i ocena przydatności wody zarobowej do betonu, w tym wody odzyskanej z procesów produkcji betonu</w:t>
      </w:r>
    </w:p>
    <w:p w:rsidR="0034055A" w:rsidRPr="007078D3" w:rsidRDefault="0034055A" w:rsidP="00196DDD">
      <w:pPr>
        <w:rPr>
          <w:color w:val="000000"/>
        </w:rPr>
      </w:pPr>
      <w:r w:rsidRPr="007078D3">
        <w:rPr>
          <w:color w:val="000000"/>
        </w:rPr>
        <w:t>10.3. Inne dokumenty</w:t>
      </w:r>
    </w:p>
    <w:p w:rsidR="0034055A" w:rsidRPr="007078D3" w:rsidRDefault="0034055A" w:rsidP="00196DDD">
      <w:pPr>
        <w:rPr>
          <w:color w:val="000000"/>
        </w:rPr>
      </w:pPr>
      <w:r w:rsidRPr="007078D3">
        <w:rPr>
          <w:color w:val="000000"/>
        </w:rPr>
        <w:t>25.    Mieszanki niezwiązane do dróg krajowych. WT-4 2010. Wymagania techniczne (zalecone do stosowania w specyfikacji technicznej na roboty budowlane na drogach krajowych wg zarządzenia nr 102 GDDKiA z dnia 19.11.2010 r.)</w:t>
      </w:r>
    </w:p>
    <w:p w:rsidR="0034055A" w:rsidRPr="007078D3" w:rsidRDefault="0034055A" w:rsidP="00196DDD">
      <w:pPr>
        <w:rPr>
          <w:color w:val="000000"/>
        </w:rPr>
      </w:pPr>
      <w:r w:rsidRPr="007078D3">
        <w:rPr>
          <w:color w:val="000000"/>
        </w:rPr>
        <w:t>26.    Rozporządzenie Ministra Transportu i Gospodarki Morskiej z dnia 2 marca 1999 r. w sprawie warunków technicznych, jakim powinny odpowiadać drogi publiczne i ich usytuowanie (Dz.U. nr 43, poz. 430)</w:t>
      </w:r>
    </w:p>
    <w:p w:rsidR="0034055A" w:rsidRPr="007078D3" w:rsidRDefault="0034055A" w:rsidP="00196DDD">
      <w:pPr>
        <w:rPr>
          <w:color w:val="000000"/>
        </w:rPr>
      </w:pPr>
      <w:r w:rsidRPr="007078D3">
        <w:rPr>
          <w:color w:val="000000"/>
        </w:rPr>
        <w:t>27.       Katalog typowych konstrukcji nawierzchni podatnych i półsztywnych. Generalna Dyrekcja Dróg Publicznych, Warszawa 2014 (Załącznik do zarządzenia Nr 31 Generalnego Dyrektora Dróg Krajowych i Autostrad z dnia 16.06.2014 r.)</w:t>
      </w:r>
    </w:p>
    <w:p w:rsidR="0034055A" w:rsidRPr="007078D3" w:rsidRDefault="0034055A" w:rsidP="00196DDD">
      <w:pPr>
        <w:rPr>
          <w:color w:val="000000"/>
        </w:rPr>
      </w:pPr>
      <w:r w:rsidRPr="007078D3">
        <w:rPr>
          <w:color w:val="000000"/>
        </w:rPr>
        <w:t>28.       Katalog typowych konstrukcji nawierzchni sztywnych (Załącznik do zarządzenia Nr 30 Generalnego Dyrektora Dróg Krajowych i Autostrad z dnia 16.06.2014 r.)</w:t>
      </w:r>
    </w:p>
    <w:p w:rsidR="0034055A" w:rsidRPr="007078D3" w:rsidRDefault="0034055A" w:rsidP="00196DDD">
      <w:pPr>
        <w:rPr>
          <w:color w:val="000000"/>
        </w:rPr>
      </w:pPr>
      <w:r w:rsidRPr="007078D3">
        <w:rPr>
          <w:color w:val="000000"/>
        </w:rPr>
        <w:t> </w:t>
      </w:r>
    </w:p>
    <w:p w:rsidR="0034055A" w:rsidRPr="007078D3" w:rsidRDefault="0034055A" w:rsidP="00196DDD">
      <w:r w:rsidRPr="007078D3">
        <w:rPr>
          <w:b/>
          <w:bCs/>
          <w:caps/>
          <w:color w:val="000000"/>
          <w:shd w:val="clear" w:color="auto" w:fill="EAEAEA"/>
        </w:rPr>
        <w:br w:type="textWrapping" w:clear="all"/>
      </w:r>
    </w:p>
    <w:p w:rsidR="0034055A" w:rsidRPr="007078D3" w:rsidRDefault="0034055A" w:rsidP="00196DDD">
      <w:pPr>
        <w:rPr>
          <w:caps/>
          <w:color w:val="000000"/>
        </w:rPr>
      </w:pPr>
      <w:bookmarkStart w:id="1031" w:name="_Toc348096816"/>
      <w:r w:rsidRPr="007078D3">
        <w:rPr>
          <w:caps/>
          <w:color w:val="000000"/>
        </w:rPr>
        <w:t>11. ZAŁĄCZNIKI</w:t>
      </w:r>
      <w:bookmarkEnd w:id="1031"/>
    </w:p>
    <w:p w:rsidR="0034055A" w:rsidRPr="007078D3" w:rsidRDefault="0034055A" w:rsidP="00196DDD">
      <w:pPr>
        <w:rPr>
          <w:color w:val="000000"/>
        </w:rPr>
      </w:pPr>
      <w:r w:rsidRPr="007078D3">
        <w:rPr>
          <w:b/>
          <w:bCs/>
          <w:color w:val="000000"/>
        </w:rPr>
        <w:t>ZAŁĄCZNIK 1</w:t>
      </w:r>
    </w:p>
    <w:p w:rsidR="0034055A" w:rsidRPr="007078D3" w:rsidRDefault="0034055A" w:rsidP="00196DDD">
      <w:pPr>
        <w:rPr>
          <w:color w:val="000000"/>
        </w:rPr>
      </w:pPr>
      <w:r w:rsidRPr="007078D3">
        <w:rPr>
          <w:color w:val="000000"/>
        </w:rPr>
        <w:t xml:space="preserve">PODSTAWY  FORMALNE  OPRACOWANIA  </w:t>
      </w:r>
      <w:r w:rsidR="00985629">
        <w:rPr>
          <w:color w:val="000000"/>
        </w:rPr>
        <w:t>SST</w:t>
      </w:r>
    </w:p>
    <w:p w:rsidR="0034055A" w:rsidRPr="007078D3" w:rsidRDefault="0034055A" w:rsidP="00196DDD">
      <w:pPr>
        <w:rPr>
          <w:color w:val="000000"/>
        </w:rPr>
      </w:pPr>
      <w:r w:rsidRPr="007078D3">
        <w:rPr>
          <w:color w:val="000000"/>
        </w:rPr>
        <w:t>1. Normy i przepisy</w:t>
      </w:r>
    </w:p>
    <w:p w:rsidR="0034055A" w:rsidRPr="007078D3" w:rsidRDefault="0034055A" w:rsidP="00196DDD">
      <w:pPr>
        <w:rPr>
          <w:color w:val="000000"/>
        </w:rPr>
      </w:pPr>
      <w:r w:rsidRPr="007078D3">
        <w:rPr>
          <w:color w:val="000000"/>
        </w:rPr>
        <w:t>            W 2010 r. wprowadzono do zbioru Polskich Norm normę PN-EN 13285 „Mieszanki niezwiązane – Specyfikacja” [20].  Norma ta jest normą klasyfikacyjną, nie określającą bezpośrednio wymagań wobec mieszanek do konkretnych zastosowań.</w:t>
      </w:r>
    </w:p>
    <w:p w:rsidR="0034055A" w:rsidRPr="007078D3" w:rsidRDefault="0034055A" w:rsidP="00196DDD">
      <w:pPr>
        <w:rPr>
          <w:color w:val="000000"/>
        </w:rPr>
      </w:pPr>
      <w:r w:rsidRPr="007078D3">
        <w:rPr>
          <w:color w:val="000000"/>
        </w:rPr>
        <w:t> Wprowadzenie normy PN-EN 13285 do praktycznego stosowania umożliwia krajowy dokument aplikacyjny „Mieszanki niezwiązane do dróg krajowych, WT-4 2010 Wymagania techniczne”, zalecony do stosowania w specyfikacjach technicznych wykonania i odbioru robót budowlanych zarządzeniem nr 102 Generalnego Dyrektora Dróg Krajowych i Autostrad z dnia 19 listopada 2010 r.</w:t>
      </w:r>
    </w:p>
    <w:p w:rsidR="0034055A" w:rsidRPr="007078D3" w:rsidRDefault="0034055A" w:rsidP="00196DDD">
      <w:pPr>
        <w:rPr>
          <w:color w:val="000000"/>
        </w:rPr>
      </w:pPr>
      <w:r w:rsidRPr="007078D3">
        <w:rPr>
          <w:color w:val="000000"/>
        </w:rPr>
        <w:t>            Norma PN-EN 13285 wprowadza stosowanie kruszyw zgodnych z normą PN-EN 13242 [19], obejmujących kruszywa naturalne, sztuczne i kruszywa z recyklingu.</w:t>
      </w:r>
    </w:p>
    <w:p w:rsidR="0034055A" w:rsidRPr="007078D3" w:rsidRDefault="0034055A" w:rsidP="00196DDD">
      <w:pPr>
        <w:rPr>
          <w:color w:val="000000"/>
        </w:rPr>
      </w:pPr>
      <w:r w:rsidRPr="007078D3">
        <w:rPr>
          <w:color w:val="000000"/>
        </w:rPr>
        <w:t xml:space="preserve">            Wyżej wymienione przepisy są podstawą do opracowania niniejszej </w:t>
      </w:r>
      <w:r w:rsidR="00985629">
        <w:rPr>
          <w:color w:val="000000"/>
        </w:rPr>
        <w:t>SST</w:t>
      </w:r>
      <w:r w:rsidRPr="007078D3">
        <w:rPr>
          <w:color w:val="000000"/>
        </w:rPr>
        <w:t>.</w:t>
      </w:r>
    </w:p>
    <w:p w:rsidR="0034055A" w:rsidRPr="007078D3" w:rsidRDefault="0034055A" w:rsidP="00196DDD">
      <w:pPr>
        <w:rPr>
          <w:color w:val="000000"/>
        </w:rPr>
      </w:pPr>
      <w:r w:rsidRPr="007078D3">
        <w:rPr>
          <w:color w:val="000000"/>
        </w:rPr>
        <w:t>            Stosowane określenie „mieszanka kruszywa niezwiązanego” odpowiada dawniej stosowanemu określeniu „kruszywo stabilizowane mechanicznie”.</w:t>
      </w:r>
    </w:p>
    <w:p w:rsidR="0034055A" w:rsidRPr="007078D3" w:rsidRDefault="0034055A" w:rsidP="00196DDD">
      <w:pPr>
        <w:rPr>
          <w:color w:val="000000"/>
        </w:rPr>
      </w:pPr>
      <w:r w:rsidRPr="007078D3">
        <w:rPr>
          <w:color w:val="000000"/>
        </w:rPr>
        <w:t xml:space="preserve">Obecne wydanie </w:t>
      </w:r>
      <w:r w:rsidR="00985629">
        <w:rPr>
          <w:color w:val="000000"/>
        </w:rPr>
        <w:t>SST</w:t>
      </w:r>
      <w:r w:rsidRPr="007078D3">
        <w:rPr>
          <w:color w:val="000000"/>
        </w:rPr>
        <w:t xml:space="preserve"> uzupełniono między innymi o przykłady konstrukcji nawierzchni z podbudową pomocniczą z kruszywa niezwiązanego podane w Katalogu typowych konstrukcji nawierzchni podatnych i półsztywnych [27].</w:t>
      </w:r>
    </w:p>
    <w:p w:rsidR="0034055A" w:rsidRPr="007078D3" w:rsidRDefault="0034055A" w:rsidP="00196DDD">
      <w:pPr>
        <w:rPr>
          <w:color w:val="000000"/>
        </w:rPr>
      </w:pPr>
      <w:r w:rsidRPr="007078D3">
        <w:rPr>
          <w:color w:val="000000"/>
        </w:rPr>
        <w:t>2. Schemat konstrukcji nawierzchni drogowej</w:t>
      </w:r>
    </w:p>
    <w:p w:rsidR="0034055A" w:rsidRPr="007078D3" w:rsidRDefault="0034055A" w:rsidP="00196DDD">
      <w:pPr>
        <w:rPr>
          <w:color w:val="000000"/>
        </w:rPr>
      </w:pPr>
      <w:r w:rsidRPr="007078D3">
        <w:rPr>
          <w:color w:val="000000"/>
        </w:rPr>
        <w:t>            Ogólny schemat konstrukcji nawierzchni drogowej podatnej i półsztywnej oraz podłoża, zgodnej z WT-4 2010, przedstawia poniższy szkic.</w:t>
      </w:r>
    </w:p>
    <w:p w:rsidR="0034055A" w:rsidRPr="007078D3" w:rsidRDefault="0034055A" w:rsidP="00196DDD">
      <w:pPr>
        <w:rPr>
          <w:color w:val="000000"/>
        </w:rPr>
      </w:pPr>
      <w:r w:rsidRPr="007078D3">
        <w:rPr>
          <w:b/>
          <w:bCs/>
          <w:color w:val="000000"/>
        </w:rPr>
        <w:t> </w:t>
      </w:r>
    </w:p>
    <w:tbl>
      <w:tblPr>
        <w:tblW w:w="8868" w:type="dxa"/>
        <w:shd w:val="clear" w:color="auto" w:fill="EAEAEA"/>
        <w:tblCellMar>
          <w:left w:w="0" w:type="dxa"/>
          <w:right w:w="0" w:type="dxa"/>
        </w:tblCellMar>
        <w:tblLook w:val="04A0"/>
      </w:tblPr>
      <w:tblGrid>
        <w:gridCol w:w="3652"/>
        <w:gridCol w:w="3656"/>
        <w:gridCol w:w="1560"/>
      </w:tblGrid>
      <w:tr w:rsidR="0034055A" w:rsidRPr="00EF535A" w:rsidTr="0034055A">
        <w:tc>
          <w:tcPr>
            <w:tcW w:w="7308" w:type="dxa"/>
            <w:gridSpan w:val="2"/>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hideMark/>
          </w:tcPr>
          <w:p w:rsidR="0034055A" w:rsidRPr="00EF535A" w:rsidRDefault="0034055A" w:rsidP="00196DDD">
            <w:pPr>
              <w:rPr>
                <w:sz w:val="18"/>
                <w:szCs w:val="18"/>
              </w:rPr>
            </w:pPr>
            <w:r w:rsidRPr="00EF535A">
              <w:rPr>
                <w:color w:val="000000"/>
                <w:sz w:val="18"/>
                <w:szCs w:val="18"/>
              </w:rPr>
              <w:t>warstwa ścieralna</w:t>
            </w:r>
          </w:p>
        </w:tc>
        <w:tc>
          <w:tcPr>
            <w:tcW w:w="1560" w:type="dxa"/>
            <w:vMerge w:val="restar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hideMark/>
          </w:tcPr>
          <w:p w:rsidR="0034055A" w:rsidRPr="00EF535A" w:rsidRDefault="0034055A" w:rsidP="00196DDD">
            <w:pPr>
              <w:rPr>
                <w:sz w:val="18"/>
                <w:szCs w:val="18"/>
              </w:rPr>
            </w:pPr>
            <w:r w:rsidRPr="00EF535A">
              <w:rPr>
                <w:color w:val="000000"/>
                <w:sz w:val="18"/>
                <w:szCs w:val="18"/>
              </w:rPr>
              <w:t> </w:t>
            </w:r>
          </w:p>
          <w:p w:rsidR="0034055A" w:rsidRPr="00EF535A" w:rsidRDefault="0034055A" w:rsidP="00196DDD">
            <w:pPr>
              <w:rPr>
                <w:sz w:val="18"/>
                <w:szCs w:val="18"/>
              </w:rPr>
            </w:pPr>
            <w:r w:rsidRPr="00EF535A">
              <w:rPr>
                <w:color w:val="000000"/>
                <w:sz w:val="18"/>
                <w:szCs w:val="18"/>
              </w:rPr>
              <w:t>nawierzchnia</w:t>
            </w:r>
          </w:p>
        </w:tc>
      </w:tr>
      <w:tr w:rsidR="0034055A" w:rsidRPr="00EF535A" w:rsidTr="0034055A">
        <w:tc>
          <w:tcPr>
            <w:tcW w:w="7308" w:type="dxa"/>
            <w:gridSpan w:val="2"/>
            <w:tcBorders>
              <w:top w:val="nil"/>
              <w:left w:val="single" w:sz="8" w:space="0" w:color="auto"/>
              <w:bottom w:val="single" w:sz="8" w:space="0" w:color="auto"/>
              <w:right w:val="single" w:sz="8" w:space="0" w:color="auto"/>
            </w:tcBorders>
            <w:shd w:val="clear" w:color="auto" w:fill="BFBFBF"/>
            <w:tcMar>
              <w:top w:w="0" w:type="dxa"/>
              <w:left w:w="108" w:type="dxa"/>
              <w:bottom w:w="0" w:type="dxa"/>
              <w:right w:w="108" w:type="dxa"/>
            </w:tcMar>
            <w:hideMark/>
          </w:tcPr>
          <w:p w:rsidR="0034055A" w:rsidRPr="00EF535A" w:rsidRDefault="0034055A" w:rsidP="00196DDD">
            <w:pPr>
              <w:rPr>
                <w:sz w:val="18"/>
                <w:szCs w:val="18"/>
              </w:rPr>
            </w:pPr>
            <w:r w:rsidRPr="00EF535A">
              <w:rPr>
                <w:color w:val="000000"/>
                <w:sz w:val="18"/>
                <w:szCs w:val="18"/>
              </w:rPr>
              <w:t>warstwa wiążąca</w:t>
            </w: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r>
      <w:tr w:rsidR="0034055A" w:rsidRPr="00EF535A" w:rsidTr="0034055A">
        <w:tc>
          <w:tcPr>
            <w:tcW w:w="3652" w:type="dxa"/>
            <w:tcBorders>
              <w:top w:val="nil"/>
              <w:left w:val="single" w:sz="8" w:space="0" w:color="auto"/>
              <w:bottom w:val="single" w:sz="8" w:space="0" w:color="auto"/>
              <w:right w:val="single" w:sz="8" w:space="0" w:color="auto"/>
            </w:tcBorders>
            <w:shd w:val="clear" w:color="auto" w:fill="BFBFBF"/>
            <w:tcMar>
              <w:top w:w="0" w:type="dxa"/>
              <w:left w:w="108" w:type="dxa"/>
              <w:bottom w:w="0" w:type="dxa"/>
              <w:right w:w="108" w:type="dxa"/>
            </w:tcMar>
            <w:hideMark/>
          </w:tcPr>
          <w:p w:rsidR="0034055A" w:rsidRPr="00EF535A" w:rsidRDefault="0034055A" w:rsidP="00196DDD">
            <w:pPr>
              <w:rPr>
                <w:sz w:val="18"/>
                <w:szCs w:val="18"/>
              </w:rPr>
            </w:pPr>
            <w:r w:rsidRPr="00EF535A">
              <w:rPr>
                <w:color w:val="000000"/>
                <w:sz w:val="18"/>
                <w:szCs w:val="18"/>
              </w:rPr>
              <w:t>podbudowa zasadnicza</w:t>
            </w:r>
          </w:p>
        </w:tc>
        <w:tc>
          <w:tcPr>
            <w:tcW w:w="3656" w:type="dxa"/>
            <w:vMerge w:val="restart"/>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rsidR="0034055A" w:rsidRPr="00EF535A" w:rsidRDefault="0034055A" w:rsidP="00196DDD">
            <w:pPr>
              <w:rPr>
                <w:sz w:val="18"/>
                <w:szCs w:val="18"/>
              </w:rPr>
            </w:pPr>
            <w:r w:rsidRPr="00EF535A">
              <w:rPr>
                <w:color w:val="000000"/>
                <w:sz w:val="18"/>
                <w:szCs w:val="18"/>
              </w:rPr>
              <w:t>podbudowa</w:t>
            </w: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r>
      <w:tr w:rsidR="0034055A" w:rsidRPr="00EF535A" w:rsidTr="0034055A">
        <w:tc>
          <w:tcPr>
            <w:tcW w:w="3652" w:type="dxa"/>
            <w:tcBorders>
              <w:top w:val="nil"/>
              <w:left w:val="single" w:sz="8" w:space="0" w:color="auto"/>
              <w:bottom w:val="single" w:sz="8" w:space="0" w:color="auto"/>
              <w:right w:val="single" w:sz="8" w:space="0" w:color="auto"/>
            </w:tcBorders>
            <w:shd w:val="clear" w:color="auto" w:fill="BFBFBF"/>
            <w:tcMar>
              <w:top w:w="0" w:type="dxa"/>
              <w:left w:w="108" w:type="dxa"/>
              <w:bottom w:w="0" w:type="dxa"/>
              <w:right w:w="108" w:type="dxa"/>
            </w:tcMar>
            <w:hideMark/>
          </w:tcPr>
          <w:p w:rsidR="0034055A" w:rsidRPr="00EF535A" w:rsidRDefault="0034055A" w:rsidP="00196DDD">
            <w:pPr>
              <w:rPr>
                <w:sz w:val="18"/>
                <w:szCs w:val="18"/>
              </w:rPr>
            </w:pPr>
            <w:r w:rsidRPr="00EF535A">
              <w:rPr>
                <w:color w:val="000000"/>
                <w:sz w:val="18"/>
                <w:szCs w:val="18"/>
              </w:rPr>
              <w:t>podbudowa pomocnicza</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r>
      <w:tr w:rsidR="0034055A" w:rsidRPr="00EF535A" w:rsidTr="0034055A">
        <w:tc>
          <w:tcPr>
            <w:tcW w:w="7308" w:type="dxa"/>
            <w:gridSpan w:val="2"/>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rsidR="0034055A" w:rsidRPr="00EF535A" w:rsidRDefault="0034055A" w:rsidP="00196DDD">
            <w:pPr>
              <w:rPr>
                <w:sz w:val="18"/>
                <w:szCs w:val="18"/>
              </w:rPr>
            </w:pPr>
            <w:r w:rsidRPr="00EF535A">
              <w:rPr>
                <w:color w:val="000000"/>
                <w:sz w:val="18"/>
                <w:szCs w:val="18"/>
              </w:rPr>
              <w:t>podłoże ulepszone (warstwa mrozoochronna, odsączająca, odcinająca, wzmacniająca)</w:t>
            </w:r>
          </w:p>
        </w:tc>
        <w:tc>
          <w:tcPr>
            <w:tcW w:w="1560" w:type="dxa"/>
            <w:vMerge w:val="restart"/>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rsidR="0034055A" w:rsidRPr="00EF535A" w:rsidRDefault="0034055A" w:rsidP="00196DDD">
            <w:pPr>
              <w:rPr>
                <w:sz w:val="18"/>
                <w:szCs w:val="18"/>
              </w:rPr>
            </w:pPr>
            <w:r w:rsidRPr="00EF535A">
              <w:rPr>
                <w:color w:val="000000"/>
                <w:sz w:val="18"/>
                <w:szCs w:val="18"/>
              </w:rPr>
              <w:t>podłoże</w:t>
            </w:r>
          </w:p>
        </w:tc>
      </w:tr>
      <w:tr w:rsidR="0034055A" w:rsidRPr="00EF535A" w:rsidTr="0034055A">
        <w:tc>
          <w:tcPr>
            <w:tcW w:w="7308" w:type="dxa"/>
            <w:gridSpan w:val="2"/>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rsidR="0034055A" w:rsidRPr="00EF535A" w:rsidRDefault="0034055A" w:rsidP="00196DDD">
            <w:pPr>
              <w:rPr>
                <w:sz w:val="18"/>
                <w:szCs w:val="18"/>
              </w:rPr>
            </w:pPr>
            <w:r w:rsidRPr="00EF535A">
              <w:rPr>
                <w:color w:val="000000"/>
                <w:sz w:val="18"/>
                <w:szCs w:val="18"/>
              </w:rPr>
              <w:t>podłoże gruntowe</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r>
    </w:tbl>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b/>
          <w:bCs/>
          <w:color w:val="000000"/>
        </w:rPr>
        <w:t>ZAŁĄCZNIK 2</w:t>
      </w:r>
    </w:p>
    <w:p w:rsidR="0034055A" w:rsidRPr="007078D3" w:rsidRDefault="0034055A" w:rsidP="00196DDD">
      <w:pPr>
        <w:rPr>
          <w:color w:val="000000"/>
        </w:rPr>
      </w:pPr>
      <w:r w:rsidRPr="007078D3">
        <w:rPr>
          <w:color w:val="000000"/>
        </w:rPr>
        <w:t>PRZYKŁADOWE  MIESZANKI  KRUSZYW  Z  RECYKLINGU [25]</w:t>
      </w:r>
    </w:p>
    <w:p w:rsidR="0034055A" w:rsidRPr="007078D3" w:rsidRDefault="0034055A" w:rsidP="00196DDD">
      <w:pPr>
        <w:rPr>
          <w:color w:val="000000"/>
        </w:rPr>
      </w:pPr>
      <w:r w:rsidRPr="007078D3">
        <w:rPr>
          <w:color w:val="000000"/>
        </w:rPr>
        <w:t>1.1.  Rodzaje mieszanek kruszyw z recyklingu</w:t>
      </w:r>
    </w:p>
    <w:p w:rsidR="0034055A" w:rsidRPr="007078D3" w:rsidRDefault="0034055A" w:rsidP="00196DDD">
      <w:pPr>
        <w:rPr>
          <w:color w:val="000000"/>
        </w:rPr>
      </w:pPr>
      <w:r w:rsidRPr="007078D3">
        <w:rPr>
          <w:color w:val="000000"/>
        </w:rPr>
        <w:t>Ze względu na brak większych doświadczeń krajowych w stosowaniu kruszyw z recyklingu, podaje się składy mieszanek, odzwierciedlających praktyki stosowane w niektórych krajach, które mogą służyć jako wytyczne. Dopuszczalne są inne mieszanki, w tym również mieszanki o wysokim udziale standaryzowanego destruktu asfaltowego.</w:t>
      </w:r>
    </w:p>
    <w:p w:rsidR="0034055A" w:rsidRPr="007078D3" w:rsidRDefault="0034055A" w:rsidP="00196DDD">
      <w:pPr>
        <w:rPr>
          <w:color w:val="000000"/>
        </w:rPr>
      </w:pPr>
      <w:r w:rsidRPr="007078D3">
        <w:rPr>
          <w:color w:val="000000"/>
        </w:rPr>
        <w:t>Jako przykładowe podaje się następujące mieszanki kruszyw z recyklingu wraz z ich składami:</w:t>
      </w:r>
    </w:p>
    <w:p w:rsidR="0034055A" w:rsidRPr="007078D3" w:rsidRDefault="0034055A" w:rsidP="00196DDD">
      <w:pPr>
        <w:rPr>
          <w:color w:val="000000"/>
        </w:rPr>
      </w:pPr>
      <w:r w:rsidRPr="007078D3">
        <w:rPr>
          <w:color w:val="000000"/>
        </w:rPr>
        <w:t>–       mieszanki z betonu przekruszonego,</w:t>
      </w:r>
    </w:p>
    <w:p w:rsidR="0034055A" w:rsidRPr="007078D3" w:rsidRDefault="0034055A" w:rsidP="00196DDD">
      <w:pPr>
        <w:rPr>
          <w:color w:val="000000"/>
        </w:rPr>
      </w:pPr>
      <w:r w:rsidRPr="007078D3">
        <w:rPr>
          <w:color w:val="000000"/>
        </w:rPr>
        <w:t>–       mieszanki z przekruszonego muru,</w:t>
      </w:r>
    </w:p>
    <w:p w:rsidR="0034055A" w:rsidRPr="007078D3" w:rsidRDefault="0034055A" w:rsidP="00196DDD">
      <w:pPr>
        <w:rPr>
          <w:color w:val="000000"/>
        </w:rPr>
      </w:pPr>
      <w:r w:rsidRPr="007078D3">
        <w:rPr>
          <w:color w:val="000000"/>
        </w:rPr>
        <w:t>–       mieszanki z przekruszonego betonu i muru,</w:t>
      </w:r>
    </w:p>
    <w:p w:rsidR="0034055A" w:rsidRPr="007078D3" w:rsidRDefault="0034055A" w:rsidP="00196DDD">
      <w:pPr>
        <w:rPr>
          <w:color w:val="000000"/>
        </w:rPr>
      </w:pPr>
      <w:r w:rsidRPr="007078D3">
        <w:rPr>
          <w:color w:val="000000"/>
        </w:rPr>
        <w:t>–       mieszanki z przekruszonych materiałów drogowych (w tym destruktu asfaltowego),</w:t>
      </w:r>
    </w:p>
    <w:p w:rsidR="0034055A" w:rsidRPr="007078D3" w:rsidRDefault="0034055A" w:rsidP="00196DDD">
      <w:pPr>
        <w:rPr>
          <w:color w:val="000000"/>
        </w:rPr>
      </w:pPr>
      <w:r w:rsidRPr="007078D3">
        <w:rPr>
          <w:color w:val="000000"/>
        </w:rPr>
        <w:t>–       popiół powstały ze spalania odpadów komunalnych (w tym odpadów z gospodarstw domowych).</w:t>
      </w:r>
    </w:p>
    <w:p w:rsidR="0034055A" w:rsidRPr="007078D3" w:rsidRDefault="0034055A" w:rsidP="00196DDD">
      <w:pPr>
        <w:rPr>
          <w:color w:val="000000"/>
        </w:rPr>
      </w:pPr>
      <w:r w:rsidRPr="007078D3">
        <w:rPr>
          <w:color w:val="000000"/>
        </w:rPr>
        <w:t>1.2. Metoda badania</w:t>
      </w:r>
    </w:p>
    <w:p w:rsidR="0034055A" w:rsidRPr="007078D3" w:rsidRDefault="0034055A" w:rsidP="00196DDD">
      <w:pPr>
        <w:rPr>
          <w:color w:val="000000"/>
        </w:rPr>
      </w:pPr>
      <w:r w:rsidRPr="007078D3">
        <w:rPr>
          <w:color w:val="000000"/>
        </w:rPr>
        <w:t>            Masa próbki analitycznej niezbędna do wykonania oznaczenia składu mieszanki zależy od wymiaru największego ziarna w mieszance:</w:t>
      </w:r>
    </w:p>
    <w:p w:rsidR="0034055A" w:rsidRPr="007078D3" w:rsidRDefault="0034055A" w:rsidP="00196DDD">
      <w:pPr>
        <w:rPr>
          <w:color w:val="000000"/>
        </w:rPr>
      </w:pPr>
      <w:r w:rsidRPr="007078D3">
        <w:rPr>
          <w:color w:val="000000"/>
        </w:rPr>
        <w:lastRenderedPageBreak/>
        <w:t>a)   przy D ≤ 32 mm    masa próbki 4 000 g,</w:t>
      </w:r>
    </w:p>
    <w:p w:rsidR="0034055A" w:rsidRPr="007078D3" w:rsidRDefault="0034055A" w:rsidP="00196DDD">
      <w:pPr>
        <w:rPr>
          <w:color w:val="000000"/>
        </w:rPr>
      </w:pPr>
      <w:r w:rsidRPr="007078D3">
        <w:rPr>
          <w:color w:val="000000"/>
        </w:rPr>
        <w:t>b)  przy D &gt; 32 mm    masa próbki 10 000 g.</w:t>
      </w:r>
    </w:p>
    <w:p w:rsidR="0034055A" w:rsidRPr="007078D3" w:rsidRDefault="0034055A" w:rsidP="00196DDD">
      <w:pPr>
        <w:rPr>
          <w:color w:val="000000"/>
        </w:rPr>
      </w:pPr>
      <w:r w:rsidRPr="007078D3">
        <w:rPr>
          <w:color w:val="000000"/>
        </w:rPr>
        <w:t>Zgodnie z PN-EN 933-1 [8] próbkę mieszanki należy przepłukać na sicie 8 mm, przy czym sito nie może być przeładowane. Pozostałość na sicie jest suszona do masy stałej i podawana jako „M”.</w:t>
      </w:r>
    </w:p>
    <w:p w:rsidR="0034055A" w:rsidRPr="007078D3" w:rsidRDefault="0034055A" w:rsidP="00196DDD">
      <w:pPr>
        <w:rPr>
          <w:color w:val="000000"/>
        </w:rPr>
      </w:pPr>
      <w:r w:rsidRPr="007078D3">
        <w:rPr>
          <w:color w:val="000000"/>
        </w:rPr>
        <w:t>Wymyte i wysuszone ziarna są sortowane metodą wizualną w następujące grupy:</w:t>
      </w:r>
    </w:p>
    <w:p w:rsidR="0034055A" w:rsidRPr="007078D3" w:rsidRDefault="0034055A" w:rsidP="00196DDD">
      <w:pPr>
        <w:rPr>
          <w:color w:val="000000"/>
        </w:rPr>
      </w:pPr>
      <w:r w:rsidRPr="007078D3">
        <w:rPr>
          <w:color w:val="000000"/>
        </w:rPr>
        <w:t>–       kruszywa z przekruszonej skały,</w:t>
      </w:r>
    </w:p>
    <w:p w:rsidR="0034055A" w:rsidRPr="007078D3" w:rsidRDefault="0034055A" w:rsidP="00196DDD">
      <w:pPr>
        <w:rPr>
          <w:color w:val="000000"/>
        </w:rPr>
      </w:pPr>
      <w:r w:rsidRPr="007078D3">
        <w:rPr>
          <w:color w:val="000000"/>
        </w:rPr>
        <w:t>–       kruszywa ze żwiru,</w:t>
      </w:r>
    </w:p>
    <w:p w:rsidR="0034055A" w:rsidRPr="007078D3" w:rsidRDefault="0034055A" w:rsidP="00196DDD">
      <w:pPr>
        <w:rPr>
          <w:color w:val="000000"/>
        </w:rPr>
      </w:pPr>
      <w:r w:rsidRPr="007078D3">
        <w:rPr>
          <w:color w:val="000000"/>
        </w:rPr>
        <w:t>–       beton i inne hydraulicznie związane mieszanki,</w:t>
      </w:r>
    </w:p>
    <w:p w:rsidR="0034055A" w:rsidRPr="007078D3" w:rsidRDefault="0034055A" w:rsidP="00196DDD">
      <w:pPr>
        <w:rPr>
          <w:color w:val="000000"/>
        </w:rPr>
      </w:pPr>
      <w:r w:rsidRPr="007078D3">
        <w:rPr>
          <w:color w:val="000000"/>
        </w:rPr>
        <w:t>–       żużel (łącznie z rodzajem żużla, jeżeli jest znany),</w:t>
      </w:r>
    </w:p>
    <w:p w:rsidR="0034055A" w:rsidRPr="007078D3" w:rsidRDefault="0034055A" w:rsidP="00196DDD">
      <w:pPr>
        <w:rPr>
          <w:color w:val="000000"/>
        </w:rPr>
      </w:pPr>
      <w:r w:rsidRPr="007078D3">
        <w:rPr>
          <w:color w:val="000000"/>
        </w:rPr>
        <w:t>–       cegły, mury i bloki betonowe,</w:t>
      </w:r>
    </w:p>
    <w:p w:rsidR="0034055A" w:rsidRPr="007078D3" w:rsidRDefault="0034055A" w:rsidP="00196DDD">
      <w:pPr>
        <w:rPr>
          <w:color w:val="000000"/>
        </w:rPr>
      </w:pPr>
      <w:r w:rsidRPr="007078D3">
        <w:rPr>
          <w:color w:val="000000"/>
        </w:rPr>
        <w:t>–       mur z cegły wapienno-piaskowej,</w:t>
      </w:r>
    </w:p>
    <w:p w:rsidR="0034055A" w:rsidRPr="007078D3" w:rsidRDefault="0034055A" w:rsidP="00196DDD">
      <w:pPr>
        <w:rPr>
          <w:color w:val="000000"/>
        </w:rPr>
      </w:pPr>
      <w:r w:rsidRPr="007078D3">
        <w:rPr>
          <w:color w:val="000000"/>
        </w:rPr>
        <w:t>–       kruszywa lekkie,</w:t>
      </w:r>
    </w:p>
    <w:p w:rsidR="0034055A" w:rsidRPr="007078D3" w:rsidRDefault="0034055A" w:rsidP="00196DDD">
      <w:pPr>
        <w:rPr>
          <w:color w:val="000000"/>
        </w:rPr>
      </w:pPr>
      <w:r w:rsidRPr="007078D3">
        <w:rPr>
          <w:color w:val="000000"/>
        </w:rPr>
        <w:t>–       destrukt asfaltowy,</w:t>
      </w:r>
    </w:p>
    <w:p w:rsidR="0034055A" w:rsidRPr="007078D3" w:rsidRDefault="0034055A" w:rsidP="00196DDD">
      <w:pPr>
        <w:rPr>
          <w:color w:val="000000"/>
        </w:rPr>
      </w:pPr>
      <w:r w:rsidRPr="007078D3">
        <w:rPr>
          <w:color w:val="000000"/>
        </w:rPr>
        <w:t>–       zanieczyszczenia organiczne – drewno, tworzywo sztuczne itp.</w:t>
      </w:r>
    </w:p>
    <w:p w:rsidR="0034055A" w:rsidRPr="007078D3" w:rsidRDefault="0034055A" w:rsidP="00196DDD">
      <w:pPr>
        <w:rPr>
          <w:color w:val="000000"/>
        </w:rPr>
      </w:pPr>
      <w:r w:rsidRPr="007078D3">
        <w:rPr>
          <w:color w:val="000000"/>
        </w:rPr>
        <w:t>Należy określić masę m</w:t>
      </w:r>
      <w:r w:rsidRPr="007078D3">
        <w:rPr>
          <w:color w:val="000000"/>
          <w:vertAlign w:val="subscript"/>
        </w:rPr>
        <w:t>i  </w:t>
      </w:r>
      <w:r w:rsidRPr="007078D3">
        <w:rPr>
          <w:color w:val="000000"/>
        </w:rPr>
        <w:t>każdej wydzielonej grupy i obliczyć jej procentową zawartość w całej masie mieszanki M, według poniższego wzoru, oraz podać tę wartość:</w:t>
      </w:r>
    </w:p>
    <w:p w:rsidR="0034055A" w:rsidRPr="007078D3" w:rsidRDefault="0034055A" w:rsidP="00196DDD">
      <w:pPr>
        <w:rPr>
          <w:color w:val="000000"/>
        </w:rPr>
      </w:pPr>
      <w:r w:rsidRPr="007078D3">
        <w:rPr>
          <w:b/>
          <w:bCs/>
          <w:color w:val="000000"/>
        </w:rPr>
        <w:t>                                                           </w:t>
      </w:r>
      <w:r w:rsidRPr="007078D3">
        <w:rPr>
          <w:color w:val="000000"/>
        </w:rPr>
        <w:t>100  ×  m</w:t>
      </w:r>
      <w:r w:rsidRPr="007078D3">
        <w:rPr>
          <w:color w:val="000000"/>
          <w:vertAlign w:val="subscript"/>
        </w:rPr>
        <w:t>i </w:t>
      </w:r>
      <w:r w:rsidRPr="007078D3">
        <w:rPr>
          <w:color w:val="000000"/>
        </w:rPr>
        <w:t>/ M     [%(m/m)].</w:t>
      </w:r>
    </w:p>
    <w:p w:rsidR="0034055A" w:rsidRPr="007078D3" w:rsidRDefault="0034055A" w:rsidP="00196DDD">
      <w:pPr>
        <w:rPr>
          <w:color w:val="000000"/>
        </w:rPr>
      </w:pPr>
      <w:r w:rsidRPr="007078D3">
        <w:rPr>
          <w:color w:val="000000"/>
        </w:rPr>
        <w:t>1.3. Składy mieszanek kruszyw z recyklingu</w:t>
      </w:r>
    </w:p>
    <w:p w:rsidR="0034055A" w:rsidRPr="007078D3" w:rsidRDefault="0034055A" w:rsidP="00196DDD">
      <w:pPr>
        <w:rPr>
          <w:color w:val="000000"/>
        </w:rPr>
      </w:pPr>
      <w:r w:rsidRPr="007078D3">
        <w:rPr>
          <w:color w:val="000000"/>
        </w:rPr>
        <w:t>(Uwaga: Gęstość materiałów podana w tablicach jest gęstością ziaren suszonych w suszarce laboratoryjnej, ustalana wg PN-EN 1097-6 [14])</w:t>
      </w:r>
    </w:p>
    <w:p w:rsidR="0034055A" w:rsidRPr="007078D3" w:rsidRDefault="0034055A" w:rsidP="00196DDD">
      <w:pPr>
        <w:rPr>
          <w:color w:val="000000"/>
        </w:rPr>
      </w:pPr>
      <w:r w:rsidRPr="007078D3">
        <w:rPr>
          <w:color w:val="000000"/>
        </w:rPr>
        <w:t>Tablica 1.1. Mieszanki z betonu przekruszonego</w:t>
      </w:r>
    </w:p>
    <w:tbl>
      <w:tblPr>
        <w:tblW w:w="8868" w:type="dxa"/>
        <w:shd w:val="clear" w:color="auto" w:fill="EAEAEA"/>
        <w:tblCellMar>
          <w:left w:w="0" w:type="dxa"/>
          <w:right w:w="0" w:type="dxa"/>
        </w:tblCellMar>
        <w:tblLook w:val="04A0"/>
      </w:tblPr>
      <w:tblGrid>
        <w:gridCol w:w="2748"/>
        <w:gridCol w:w="4436"/>
        <w:gridCol w:w="1684"/>
      </w:tblGrid>
      <w:tr w:rsidR="0034055A" w:rsidRPr="00EF535A" w:rsidTr="0034055A">
        <w:tc>
          <w:tcPr>
            <w:tcW w:w="7184"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1684"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[%(m/m)]</w:t>
            </w:r>
          </w:p>
        </w:tc>
      </w:tr>
      <w:tr w:rsidR="0034055A" w:rsidRPr="00EF535A" w:rsidTr="0034055A">
        <w:tc>
          <w:tcPr>
            <w:tcW w:w="274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Główne składniki</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Przekruszony beton (o gęstości &gt; 2,1 Mg/m</w:t>
            </w:r>
            <w:r w:rsidRPr="00EF535A">
              <w:rPr>
                <w:sz w:val="18"/>
                <w:szCs w:val="18"/>
                <w:vertAlign w:val="superscript"/>
              </w:rPr>
              <w:t>3</w:t>
            </w:r>
            <w:r w:rsidRPr="00EF535A">
              <w:rPr>
                <w:sz w:val="18"/>
                <w:szCs w:val="18"/>
              </w:rPr>
              <w:t>) i kruszywo (łącznie z żużlem)</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90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Inne materiały ziarniste</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Przekruszony mur</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10</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Destrukt asfaltowy</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15</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Zanieczyszczenia</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spoiste (łącznie z gliną)</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0,1</w:t>
            </w:r>
          </w:p>
        </w:tc>
      </w:tr>
    </w:tbl>
    <w:p w:rsidR="0034055A" w:rsidRPr="007078D3" w:rsidRDefault="0034055A" w:rsidP="00196DDD">
      <w:pPr>
        <w:rPr>
          <w:color w:val="000000"/>
        </w:rPr>
      </w:pPr>
      <w:r w:rsidRPr="007078D3">
        <w:rPr>
          <w:color w:val="000000"/>
        </w:rPr>
        <w:t>Tablica 1.2. Mieszanki z przekruszonego muru</w:t>
      </w:r>
    </w:p>
    <w:tbl>
      <w:tblPr>
        <w:tblW w:w="8868" w:type="dxa"/>
        <w:shd w:val="clear" w:color="auto" w:fill="EAEAEA"/>
        <w:tblCellMar>
          <w:left w:w="0" w:type="dxa"/>
          <w:right w:w="0" w:type="dxa"/>
        </w:tblCellMar>
        <w:tblLook w:val="04A0"/>
      </w:tblPr>
      <w:tblGrid>
        <w:gridCol w:w="2748"/>
        <w:gridCol w:w="4440"/>
        <w:gridCol w:w="1680"/>
      </w:tblGrid>
      <w:tr w:rsidR="0034055A" w:rsidRPr="00EF535A" w:rsidTr="0034055A">
        <w:tc>
          <w:tcPr>
            <w:tcW w:w="7188"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1680"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[%(m/m)]</w:t>
            </w:r>
          </w:p>
        </w:tc>
      </w:tr>
      <w:tr w:rsidR="0034055A" w:rsidRPr="00EF535A" w:rsidTr="0034055A">
        <w:tc>
          <w:tcPr>
            <w:tcW w:w="274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Główne składniki</w:t>
            </w: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Przekruszony mur (gęstość &gt; 1,6 Mg/m</w:t>
            </w:r>
            <w:r w:rsidRPr="00EF535A">
              <w:rPr>
                <w:sz w:val="18"/>
                <w:szCs w:val="18"/>
                <w:vertAlign w:val="superscript"/>
              </w:rPr>
              <w:t>3</w:t>
            </w:r>
            <w:r w:rsidRPr="00EF535A">
              <w:rPr>
                <w:sz w:val="18"/>
                <w:szCs w:val="18"/>
              </w:rPr>
              <w:t>), przekruszony beton (gęstość &gt; 2,1 Mg/m</w:t>
            </w:r>
            <w:r w:rsidRPr="00EF535A">
              <w:rPr>
                <w:sz w:val="18"/>
                <w:szCs w:val="18"/>
                <w:vertAlign w:val="superscript"/>
              </w:rPr>
              <w:t>3</w:t>
            </w:r>
            <w:r w:rsidRPr="00EF535A">
              <w:rPr>
                <w:sz w:val="18"/>
                <w:szCs w:val="18"/>
              </w:rPr>
              <w:t>),   i kruszywo (łącznie z żużlem)</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80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Inne materiały ziarniste</w:t>
            </w: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Materiały ziarniste o gęstości &lt; 1,6 Mg/m</w:t>
            </w:r>
            <w:r w:rsidRPr="00EF535A">
              <w:rPr>
                <w:sz w:val="18"/>
                <w:szCs w:val="18"/>
                <w:vertAlign w:val="superscript"/>
              </w:rPr>
              <w:t>3</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20</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Destrukt asfaltowy</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Zanieczyszczenia</w:t>
            </w: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spoiste (łącznie z gliną)</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0,1</w:t>
            </w:r>
          </w:p>
        </w:tc>
      </w:tr>
    </w:tbl>
    <w:p w:rsidR="0034055A" w:rsidRPr="007078D3" w:rsidRDefault="0034055A" w:rsidP="00196DDD">
      <w:pPr>
        <w:rPr>
          <w:color w:val="000000"/>
        </w:rPr>
      </w:pPr>
      <w:r w:rsidRPr="007078D3">
        <w:rPr>
          <w:color w:val="000000"/>
        </w:rPr>
        <w:t>Tablica 1.3. Mieszanki z przekruszonego betonu i muru</w:t>
      </w:r>
    </w:p>
    <w:tbl>
      <w:tblPr>
        <w:tblW w:w="8868" w:type="dxa"/>
        <w:shd w:val="clear" w:color="auto" w:fill="EAEAEA"/>
        <w:tblCellMar>
          <w:left w:w="0" w:type="dxa"/>
          <w:right w:w="0" w:type="dxa"/>
        </w:tblCellMar>
        <w:tblLook w:val="04A0"/>
      </w:tblPr>
      <w:tblGrid>
        <w:gridCol w:w="2748"/>
        <w:gridCol w:w="4436"/>
        <w:gridCol w:w="1684"/>
      </w:tblGrid>
      <w:tr w:rsidR="0034055A" w:rsidRPr="00EF535A" w:rsidTr="0034055A">
        <w:tc>
          <w:tcPr>
            <w:tcW w:w="7184"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1684"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[%(m/m)]</w:t>
            </w:r>
          </w:p>
        </w:tc>
      </w:tr>
      <w:tr w:rsidR="0034055A" w:rsidRPr="00EF535A" w:rsidTr="0034055A">
        <w:tc>
          <w:tcPr>
            <w:tcW w:w="274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Główne składniki</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Przekruszony beton (gęstość &gt; 2,1 Mg/m</w:t>
            </w:r>
            <w:r w:rsidRPr="00EF535A">
              <w:rPr>
                <w:sz w:val="18"/>
                <w:szCs w:val="18"/>
                <w:vertAlign w:val="superscript"/>
              </w:rPr>
              <w:t>3</w:t>
            </w:r>
            <w:r w:rsidRPr="00EF535A">
              <w:rPr>
                <w:sz w:val="18"/>
                <w:szCs w:val="18"/>
              </w:rPr>
              <w:t>) i kruszywo (łącznie z żużlem)</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Inne materiały ziarniste</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Przekruszony mur</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50</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Destrukt asfaltowy</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Materiały ziarniste o gęstości &gt; 1,6 Mg/m</w:t>
            </w:r>
            <w:r w:rsidRPr="00EF535A">
              <w:rPr>
                <w:sz w:val="18"/>
                <w:szCs w:val="18"/>
                <w:vertAlign w:val="superscript"/>
              </w:rPr>
              <w:t>3</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Zanieczyszczenia</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spoiste (łącznie z gliną)</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0,1</w:t>
            </w:r>
          </w:p>
        </w:tc>
      </w:tr>
    </w:tbl>
    <w:p w:rsidR="0034055A" w:rsidRPr="007078D3" w:rsidRDefault="0034055A" w:rsidP="00196DDD">
      <w:pPr>
        <w:rPr>
          <w:color w:val="000000"/>
        </w:rPr>
      </w:pPr>
      <w:r w:rsidRPr="007078D3">
        <w:rPr>
          <w:color w:val="000000"/>
        </w:rPr>
        <w:t>Tablica 1.4. Przekruszone materiały drogowe</w:t>
      </w:r>
    </w:p>
    <w:tbl>
      <w:tblPr>
        <w:tblW w:w="8868" w:type="dxa"/>
        <w:shd w:val="clear" w:color="auto" w:fill="EAEAEA"/>
        <w:tblCellMar>
          <w:left w:w="0" w:type="dxa"/>
          <w:right w:w="0" w:type="dxa"/>
        </w:tblCellMar>
        <w:tblLook w:val="04A0"/>
      </w:tblPr>
      <w:tblGrid>
        <w:gridCol w:w="2748"/>
        <w:gridCol w:w="4436"/>
        <w:gridCol w:w="1684"/>
      </w:tblGrid>
      <w:tr w:rsidR="0034055A" w:rsidRPr="00EF535A" w:rsidTr="0034055A">
        <w:tc>
          <w:tcPr>
            <w:tcW w:w="7184"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1684"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[%(m/m)]</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Główne składniki</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Materiały drogowe – łącznie z kruszonym betonem, niezwiązanymi kruszywami i przekruszone mieszanki kruszyw związane hydraulicznie</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 90</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Destrukt asfaltowy</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30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Zanieczyszczenia</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spoiste (łącznie z gliną)</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0,1</w:t>
            </w:r>
          </w:p>
        </w:tc>
      </w:tr>
    </w:tbl>
    <w:p w:rsidR="0034055A" w:rsidRPr="007078D3" w:rsidRDefault="0034055A" w:rsidP="00196DDD">
      <w:pPr>
        <w:rPr>
          <w:color w:val="000000"/>
        </w:rPr>
      </w:pPr>
      <w:r w:rsidRPr="007078D3">
        <w:rPr>
          <w:color w:val="000000"/>
        </w:rPr>
        <w:t>Tablica 1.5. Popiół powstały ze spalania odpadów komunalnych</w:t>
      </w:r>
    </w:p>
    <w:tbl>
      <w:tblPr>
        <w:tblW w:w="8868" w:type="dxa"/>
        <w:shd w:val="clear" w:color="auto" w:fill="EAEAEA"/>
        <w:tblCellMar>
          <w:left w:w="0" w:type="dxa"/>
          <w:right w:w="0" w:type="dxa"/>
        </w:tblCellMar>
        <w:tblLook w:val="04A0"/>
      </w:tblPr>
      <w:tblGrid>
        <w:gridCol w:w="2028"/>
        <w:gridCol w:w="4320"/>
        <w:gridCol w:w="2520"/>
      </w:tblGrid>
      <w:tr w:rsidR="0034055A" w:rsidRPr="00EF535A" w:rsidTr="0034055A">
        <w:tc>
          <w:tcPr>
            <w:tcW w:w="6348"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2520"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grubego kruszywa [%(m/m)]</w:t>
            </w:r>
          </w:p>
        </w:tc>
      </w:tr>
      <w:tr w:rsidR="0034055A" w:rsidRPr="00EF535A" w:rsidTr="0034055A">
        <w:tc>
          <w:tcPr>
            <w:tcW w:w="202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Główne składniki</w:t>
            </w: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Ziarniste substancje mineralne, łącznie ze szkłem, ceramiką, żużlem itp.</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90</w:t>
            </w:r>
          </w:p>
        </w:tc>
      </w:tr>
      <w:tr w:rsidR="0034055A" w:rsidRPr="00EF535A" w:rsidTr="0034055A">
        <w:tc>
          <w:tcPr>
            <w:tcW w:w="202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Inne składniki</w:t>
            </w: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Żelazo i inne metale</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w:t>
            </w:r>
          </w:p>
        </w:tc>
      </w:tr>
      <w:tr w:rsidR="0034055A" w:rsidRPr="00EF535A" w:rsidTr="0034055A">
        <w:tc>
          <w:tcPr>
            <w:tcW w:w="202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Zanieczyszczenia</w:t>
            </w: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niespalone</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6</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Popiół lotny ze spalania odpadów komunalnych</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0</w:t>
            </w:r>
          </w:p>
        </w:tc>
      </w:tr>
    </w:tbl>
    <w:p w:rsidR="0034055A" w:rsidRPr="007078D3" w:rsidRDefault="0034055A" w:rsidP="00196DDD">
      <w:r w:rsidRPr="007078D3">
        <w:rPr>
          <w:b/>
          <w:bCs/>
          <w:color w:val="000000"/>
          <w:shd w:val="clear" w:color="auto" w:fill="EAEAEA"/>
        </w:rPr>
        <w:br w:type="textWrapping" w:clear="all"/>
      </w:r>
    </w:p>
    <w:p w:rsidR="0034055A" w:rsidRPr="007078D3" w:rsidRDefault="0034055A" w:rsidP="00196DDD">
      <w:pPr>
        <w:rPr>
          <w:color w:val="000000"/>
        </w:rPr>
      </w:pPr>
      <w:r w:rsidRPr="007078D3">
        <w:rPr>
          <w:b/>
          <w:bCs/>
          <w:color w:val="000000"/>
        </w:rPr>
        <w:t>ZAŁĄCZNIK 3</w:t>
      </w:r>
    </w:p>
    <w:p w:rsidR="0034055A" w:rsidRPr="007078D3" w:rsidRDefault="0034055A" w:rsidP="00196DDD">
      <w:pPr>
        <w:rPr>
          <w:color w:val="000000"/>
        </w:rPr>
      </w:pPr>
      <w:r w:rsidRPr="007078D3">
        <w:rPr>
          <w:color w:val="000000"/>
        </w:rPr>
        <w:lastRenderedPageBreak/>
        <w:t>PRZYKŁADY  DOLNYCH WARSTW KONSTRUKCJI  NAWIERZCHNI Z  PODBUDOWĄ  POMOCNICZĄ  Z  KRUSZYWA  NIEZWIĄZANEGO</w:t>
      </w:r>
    </w:p>
    <w:p w:rsidR="0034055A" w:rsidRPr="007078D3" w:rsidRDefault="0034055A" w:rsidP="00196DDD">
      <w:pPr>
        <w:rPr>
          <w:color w:val="000000"/>
        </w:rPr>
      </w:pPr>
      <w:r w:rsidRPr="007078D3">
        <w:rPr>
          <w:color w:val="000000"/>
        </w:rPr>
        <w:t>(na podstawie [27])</w:t>
      </w:r>
    </w:p>
    <w:p w:rsidR="0034055A" w:rsidRPr="007078D3" w:rsidRDefault="0034055A" w:rsidP="00196DDD">
      <w:pPr>
        <w:rPr>
          <w:color w:val="000000"/>
        </w:rPr>
      </w:pPr>
      <w:r w:rsidRPr="007078D3">
        <w:rPr>
          <w:color w:val="000000"/>
        </w:rPr>
        <w:t>1.     Typowe rozwiązania dolnych warstw konstrukcji nawierzchni i warstwy ulepszonego podłoża w przypadku kategorii ruchu KR5, KR6 i KR7 (E</w:t>
      </w:r>
      <w:r w:rsidRPr="007078D3">
        <w:rPr>
          <w:color w:val="000000"/>
          <w:vertAlign w:val="subscript"/>
        </w:rPr>
        <w:t>2</w:t>
      </w:r>
      <w:r w:rsidRPr="007078D3">
        <w:rPr>
          <w:color w:val="000000"/>
        </w:rPr>
        <w:t> ≥ 120 MPa). Grubości warstw podano w cm.</w:t>
      </w:r>
    </w:p>
    <w:tbl>
      <w:tblPr>
        <w:tblW w:w="0" w:type="auto"/>
        <w:tblInd w:w="284" w:type="dxa"/>
        <w:shd w:val="clear" w:color="auto" w:fill="EAEAEA"/>
        <w:tblCellMar>
          <w:left w:w="0" w:type="dxa"/>
          <w:right w:w="0" w:type="dxa"/>
        </w:tblCellMar>
        <w:tblLook w:val="04A0"/>
      </w:tblPr>
      <w:tblGrid>
        <w:gridCol w:w="799"/>
        <w:gridCol w:w="611"/>
        <w:gridCol w:w="3631"/>
        <w:gridCol w:w="3832"/>
      </w:tblGrid>
      <w:tr w:rsidR="0034055A" w:rsidRPr="00EF535A" w:rsidTr="0034055A">
        <w:tc>
          <w:tcPr>
            <w:tcW w:w="596" w:type="dxa"/>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w:t>
            </w:r>
          </w:p>
        </w:tc>
        <w:tc>
          <w:tcPr>
            <w:tcW w:w="611"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w:t>
            </w:r>
          </w:p>
        </w:tc>
        <w:tc>
          <w:tcPr>
            <w:tcW w:w="3631"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Typ 3</w:t>
            </w:r>
          </w:p>
        </w:tc>
        <w:tc>
          <w:tcPr>
            <w:tcW w:w="3832"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Typ 4</w:t>
            </w:r>
          </w:p>
        </w:tc>
      </w:tr>
      <w:tr w:rsidR="0034055A" w:rsidRPr="00EF535A" w:rsidTr="0034055A">
        <w:trPr>
          <w:trHeight w:val="1134"/>
        </w:trPr>
        <w:tc>
          <w:tcPr>
            <w:tcW w:w="596"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Grupa nośności podłoża</w:t>
            </w:r>
          </w:p>
        </w:tc>
        <w:tc>
          <w:tcPr>
            <w:tcW w:w="61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G4</w:t>
            </w:r>
          </w:p>
        </w:tc>
        <w:tc>
          <w:tcPr>
            <w:tcW w:w="363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1733550" cy="1377315"/>
                  <wp:effectExtent l="0" t="0" r="0" b="0"/>
                  <wp:docPr id="1470957287"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33550" cy="1377315"/>
                          </a:xfrm>
                          <a:prstGeom prst="rect">
                            <a:avLst/>
                          </a:prstGeom>
                          <a:noFill/>
                          <a:ln>
                            <a:noFill/>
                          </a:ln>
                        </pic:spPr>
                      </pic:pic>
                    </a:graphicData>
                  </a:graphic>
                </wp:inline>
              </w:drawing>
            </w:r>
          </w:p>
        </w:tc>
        <w:tc>
          <w:tcPr>
            <w:tcW w:w="38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1710055" cy="1377315"/>
                  <wp:effectExtent l="0" t="0" r="0" b="0"/>
                  <wp:docPr id="834370440"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0055" cy="1377315"/>
                          </a:xfrm>
                          <a:prstGeom prst="rect">
                            <a:avLst/>
                          </a:prstGeom>
                          <a:noFill/>
                          <a:ln>
                            <a:noFill/>
                          </a:ln>
                        </pic:spPr>
                      </pic:pic>
                    </a:graphicData>
                  </a:graphic>
                </wp:inline>
              </w:drawing>
            </w:r>
          </w:p>
        </w:tc>
      </w:tr>
      <w:tr w:rsidR="0034055A" w:rsidRPr="00EF535A" w:rsidTr="0034055A">
        <w:trPr>
          <w:trHeight w:val="1134"/>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61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G3</w:t>
            </w:r>
          </w:p>
        </w:tc>
        <w:tc>
          <w:tcPr>
            <w:tcW w:w="363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1733550" cy="1199515"/>
                  <wp:effectExtent l="0" t="0" r="0" b="0"/>
                  <wp:docPr id="152453428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33550" cy="1199515"/>
                          </a:xfrm>
                          <a:prstGeom prst="rect">
                            <a:avLst/>
                          </a:prstGeom>
                          <a:noFill/>
                          <a:ln>
                            <a:noFill/>
                          </a:ln>
                        </pic:spPr>
                      </pic:pic>
                    </a:graphicData>
                  </a:graphic>
                </wp:inline>
              </w:drawing>
            </w:r>
          </w:p>
        </w:tc>
        <w:tc>
          <w:tcPr>
            <w:tcW w:w="38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1781175" cy="1223010"/>
                  <wp:effectExtent l="0" t="0" r="0" b="0"/>
                  <wp:docPr id="165210024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81175" cy="1223010"/>
                          </a:xfrm>
                          <a:prstGeom prst="rect">
                            <a:avLst/>
                          </a:prstGeom>
                          <a:noFill/>
                          <a:ln>
                            <a:noFill/>
                          </a:ln>
                        </pic:spPr>
                      </pic:pic>
                    </a:graphicData>
                  </a:graphic>
                </wp:inline>
              </w:drawing>
            </w:r>
          </w:p>
        </w:tc>
      </w:tr>
      <w:tr w:rsidR="0034055A" w:rsidRPr="00EF535A" w:rsidTr="0034055A">
        <w:trPr>
          <w:trHeight w:val="1134"/>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61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G2</w:t>
            </w:r>
          </w:p>
        </w:tc>
        <w:tc>
          <w:tcPr>
            <w:tcW w:w="363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1805305" cy="1021080"/>
                  <wp:effectExtent l="0" t="0" r="0" b="0"/>
                  <wp:docPr id="467275548"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5305" cy="1021080"/>
                          </a:xfrm>
                          <a:prstGeom prst="rect">
                            <a:avLst/>
                          </a:prstGeom>
                          <a:noFill/>
                          <a:ln>
                            <a:noFill/>
                          </a:ln>
                        </pic:spPr>
                      </pic:pic>
                    </a:graphicData>
                  </a:graphic>
                </wp:inline>
              </w:drawing>
            </w:r>
          </w:p>
        </w:tc>
        <w:tc>
          <w:tcPr>
            <w:tcW w:w="38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1816735" cy="997585"/>
                  <wp:effectExtent l="0" t="0" r="0" b="0"/>
                  <wp:docPr id="960970162"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735" cy="997585"/>
                          </a:xfrm>
                          <a:prstGeom prst="rect">
                            <a:avLst/>
                          </a:prstGeom>
                          <a:noFill/>
                          <a:ln>
                            <a:noFill/>
                          </a:ln>
                        </pic:spPr>
                      </pic:pic>
                    </a:graphicData>
                  </a:graphic>
                </wp:inline>
              </w:drawing>
            </w:r>
          </w:p>
        </w:tc>
      </w:tr>
      <w:tr w:rsidR="0034055A" w:rsidRPr="00EF535A" w:rsidTr="0034055A">
        <w:trPr>
          <w:trHeight w:val="1134"/>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61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G1</w:t>
            </w:r>
          </w:p>
        </w:tc>
        <w:tc>
          <w:tcPr>
            <w:tcW w:w="363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1816735" cy="843280"/>
                  <wp:effectExtent l="0" t="0" r="0" b="0"/>
                  <wp:docPr id="1658502427"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735" cy="843280"/>
                          </a:xfrm>
                          <a:prstGeom prst="rect">
                            <a:avLst/>
                          </a:prstGeom>
                          <a:noFill/>
                          <a:ln>
                            <a:noFill/>
                          </a:ln>
                        </pic:spPr>
                      </pic:pic>
                    </a:graphicData>
                  </a:graphic>
                </wp:inline>
              </w:drawing>
            </w:r>
          </w:p>
        </w:tc>
        <w:tc>
          <w:tcPr>
            <w:tcW w:w="38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1935480" cy="890905"/>
                  <wp:effectExtent l="0" t="0" r="0" b="0"/>
                  <wp:docPr id="71342891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35480" cy="890905"/>
                          </a:xfrm>
                          <a:prstGeom prst="rect">
                            <a:avLst/>
                          </a:prstGeom>
                          <a:noFill/>
                          <a:ln>
                            <a:noFill/>
                          </a:ln>
                        </pic:spPr>
                      </pic:pic>
                    </a:graphicData>
                  </a:graphic>
                </wp:inline>
              </w:drawing>
            </w:r>
          </w:p>
        </w:tc>
      </w:tr>
      <w:tr w:rsidR="0034055A" w:rsidRPr="00EF535A" w:rsidTr="0034055A">
        <w:tc>
          <w:tcPr>
            <w:tcW w:w="8670" w:type="dxa"/>
            <w:gridSpan w:val="4"/>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2280285" cy="748030"/>
                  <wp:effectExtent l="0" t="0" r="0" b="0"/>
                  <wp:docPr id="908198737"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80285" cy="748030"/>
                          </a:xfrm>
                          <a:prstGeom prst="rect">
                            <a:avLst/>
                          </a:prstGeom>
                          <a:noFill/>
                          <a:ln>
                            <a:noFill/>
                          </a:ln>
                        </pic:spPr>
                      </pic:pic>
                    </a:graphicData>
                  </a:graphic>
                </wp:inline>
              </w:drawing>
            </w:r>
            <w:r w:rsidRPr="00EF535A">
              <w:rPr>
                <w:sz w:val="18"/>
                <w:szCs w:val="18"/>
              </w:rPr>
              <w:t>  </w:t>
            </w:r>
            <w:r w:rsidRPr="00EF535A">
              <w:rPr>
                <w:noProof/>
                <w:sz w:val="18"/>
                <w:szCs w:val="18"/>
                <w:lang w:eastAsia="pl-PL"/>
              </w:rPr>
              <w:drawing>
                <wp:inline distT="0" distB="0" distL="0" distR="0">
                  <wp:extent cx="2125980" cy="439420"/>
                  <wp:effectExtent l="0" t="0" r="0" b="0"/>
                  <wp:docPr id="84667263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25980" cy="439420"/>
                          </a:xfrm>
                          <a:prstGeom prst="rect">
                            <a:avLst/>
                          </a:prstGeom>
                          <a:noFill/>
                          <a:ln>
                            <a:noFill/>
                          </a:ln>
                        </pic:spPr>
                      </pic:pic>
                    </a:graphicData>
                  </a:graphic>
                </wp:inline>
              </w:drawing>
            </w:r>
          </w:p>
        </w:tc>
      </w:tr>
      <w:tr w:rsidR="0034055A" w:rsidRPr="00EF535A" w:rsidTr="0034055A">
        <w:tc>
          <w:tcPr>
            <w:tcW w:w="8670" w:type="dxa"/>
            <w:gridSpan w:val="4"/>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5415280" cy="902335"/>
                  <wp:effectExtent l="0" t="0" r="0" b="0"/>
                  <wp:docPr id="27212216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5280" cy="902335"/>
                          </a:xfrm>
                          <a:prstGeom prst="rect">
                            <a:avLst/>
                          </a:prstGeom>
                          <a:noFill/>
                          <a:ln>
                            <a:noFill/>
                          </a:ln>
                        </pic:spPr>
                      </pic:pic>
                    </a:graphicData>
                  </a:graphic>
                </wp:inline>
              </w:drawing>
            </w:r>
          </w:p>
        </w:tc>
      </w:tr>
    </w:tbl>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color w:val="000000"/>
        </w:rPr>
        <w:t>2.     Typowe rozwiązania dolnych warstw konstrukcji nawierzchni i warstwy ulepszonego podłoża w przypadku kategorii ruchu KR3 i KR4 (E</w:t>
      </w:r>
      <w:r w:rsidRPr="007078D3">
        <w:rPr>
          <w:color w:val="000000"/>
          <w:vertAlign w:val="subscript"/>
        </w:rPr>
        <w:t>2</w:t>
      </w:r>
      <w:r w:rsidRPr="007078D3">
        <w:rPr>
          <w:color w:val="000000"/>
        </w:rPr>
        <w:t> ≥ 100 MPa). Grubości warstw podano w cm.</w:t>
      </w:r>
    </w:p>
    <w:tbl>
      <w:tblPr>
        <w:tblW w:w="0" w:type="auto"/>
        <w:tblInd w:w="284" w:type="dxa"/>
        <w:shd w:val="clear" w:color="auto" w:fill="EAEAEA"/>
        <w:tblCellMar>
          <w:left w:w="0" w:type="dxa"/>
          <w:right w:w="0" w:type="dxa"/>
        </w:tblCellMar>
        <w:tblLook w:val="04A0"/>
      </w:tblPr>
      <w:tblGrid>
        <w:gridCol w:w="1093"/>
        <w:gridCol w:w="698"/>
        <w:gridCol w:w="7552"/>
      </w:tblGrid>
      <w:tr w:rsidR="0034055A" w:rsidRPr="00EF535A" w:rsidTr="0034055A">
        <w:tc>
          <w:tcPr>
            <w:tcW w:w="746" w:type="dxa"/>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w:t>
            </w:r>
          </w:p>
        </w:tc>
        <w:tc>
          <w:tcPr>
            <w:tcW w:w="607"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w:t>
            </w:r>
          </w:p>
        </w:tc>
        <w:tc>
          <w:tcPr>
            <w:tcW w:w="7366"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Typ 9</w:t>
            </w:r>
          </w:p>
        </w:tc>
      </w:tr>
      <w:tr w:rsidR="0034055A" w:rsidRPr="00EF535A" w:rsidTr="0034055A">
        <w:trPr>
          <w:trHeight w:val="1134"/>
        </w:trPr>
        <w:tc>
          <w:tcPr>
            <w:tcW w:w="746"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lastRenderedPageBreak/>
              <w:t>Grupa nośności podłoża</w:t>
            </w:r>
          </w:p>
        </w:tc>
        <w:tc>
          <w:tcPr>
            <w:tcW w:w="6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G4</w:t>
            </w:r>
          </w:p>
        </w:tc>
        <w:tc>
          <w:tcPr>
            <w:tcW w:w="73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2185035" cy="1520190"/>
                  <wp:effectExtent l="0" t="0" r="0" b="0"/>
                  <wp:docPr id="709410950"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85035" cy="1520190"/>
                          </a:xfrm>
                          <a:prstGeom prst="rect">
                            <a:avLst/>
                          </a:prstGeom>
                          <a:noFill/>
                          <a:ln>
                            <a:noFill/>
                          </a:ln>
                        </pic:spPr>
                      </pic:pic>
                    </a:graphicData>
                  </a:graphic>
                </wp:inline>
              </w:drawing>
            </w:r>
          </w:p>
        </w:tc>
      </w:tr>
      <w:tr w:rsidR="0034055A" w:rsidRPr="00EF535A" w:rsidTr="0034055A">
        <w:trPr>
          <w:trHeight w:val="1134"/>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6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G3</w:t>
            </w:r>
          </w:p>
        </w:tc>
        <w:tc>
          <w:tcPr>
            <w:tcW w:w="73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2197100" cy="1365885"/>
                  <wp:effectExtent l="0" t="0" r="0" b="0"/>
                  <wp:docPr id="68591245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97100" cy="1365885"/>
                          </a:xfrm>
                          <a:prstGeom prst="rect">
                            <a:avLst/>
                          </a:prstGeom>
                          <a:noFill/>
                          <a:ln>
                            <a:noFill/>
                          </a:ln>
                        </pic:spPr>
                      </pic:pic>
                    </a:graphicData>
                  </a:graphic>
                </wp:inline>
              </w:drawing>
            </w:r>
          </w:p>
        </w:tc>
      </w:tr>
      <w:tr w:rsidR="0034055A" w:rsidRPr="00EF535A" w:rsidTr="0034055A">
        <w:trPr>
          <w:trHeight w:val="1134"/>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6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G2</w:t>
            </w:r>
          </w:p>
        </w:tc>
        <w:tc>
          <w:tcPr>
            <w:tcW w:w="73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2172970" cy="1009650"/>
                  <wp:effectExtent l="0" t="0" r="0" b="0"/>
                  <wp:docPr id="48501058"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72970" cy="1009650"/>
                          </a:xfrm>
                          <a:prstGeom prst="rect">
                            <a:avLst/>
                          </a:prstGeom>
                          <a:noFill/>
                          <a:ln>
                            <a:noFill/>
                          </a:ln>
                        </pic:spPr>
                      </pic:pic>
                    </a:graphicData>
                  </a:graphic>
                </wp:inline>
              </w:drawing>
            </w:r>
          </w:p>
        </w:tc>
      </w:tr>
      <w:tr w:rsidR="0034055A" w:rsidRPr="00EF535A" w:rsidTr="0034055A">
        <w:trPr>
          <w:trHeight w:val="1134"/>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6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G1</w:t>
            </w:r>
          </w:p>
        </w:tc>
        <w:tc>
          <w:tcPr>
            <w:tcW w:w="73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2172970" cy="974090"/>
                  <wp:effectExtent l="0" t="0" r="0" b="0"/>
                  <wp:docPr id="7837494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72970" cy="974090"/>
                          </a:xfrm>
                          <a:prstGeom prst="rect">
                            <a:avLst/>
                          </a:prstGeom>
                          <a:noFill/>
                          <a:ln>
                            <a:noFill/>
                          </a:ln>
                        </pic:spPr>
                      </pic:pic>
                    </a:graphicData>
                  </a:graphic>
                </wp:inline>
              </w:drawing>
            </w:r>
          </w:p>
        </w:tc>
      </w:tr>
      <w:tr w:rsidR="0034055A" w:rsidRPr="00EF535A" w:rsidTr="0034055A">
        <w:trPr>
          <w:trHeight w:val="2334"/>
        </w:trPr>
        <w:tc>
          <w:tcPr>
            <w:tcW w:w="8719" w:type="dxa"/>
            <w:gridSpan w:val="3"/>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noProof/>
                <w:sz w:val="18"/>
                <w:szCs w:val="18"/>
                <w:lang w:eastAsia="pl-PL"/>
              </w:rPr>
              <w:drawing>
                <wp:inline distT="0" distB="0" distL="0" distR="0">
                  <wp:extent cx="2280285" cy="748030"/>
                  <wp:effectExtent l="0" t="0" r="0" b="0"/>
                  <wp:docPr id="123485577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80285" cy="748030"/>
                          </a:xfrm>
                          <a:prstGeom prst="rect">
                            <a:avLst/>
                          </a:prstGeom>
                          <a:noFill/>
                          <a:ln>
                            <a:noFill/>
                          </a:ln>
                        </pic:spPr>
                      </pic:pic>
                    </a:graphicData>
                  </a:graphic>
                </wp:inline>
              </w:drawing>
            </w:r>
            <w:r w:rsidRPr="00EF535A">
              <w:rPr>
                <w:sz w:val="18"/>
                <w:szCs w:val="18"/>
              </w:rPr>
              <w:t> </w:t>
            </w:r>
          </w:p>
          <w:p w:rsidR="0034055A" w:rsidRPr="00EF535A" w:rsidRDefault="0034055A" w:rsidP="00196DDD">
            <w:pPr>
              <w:rPr>
                <w:sz w:val="18"/>
                <w:szCs w:val="18"/>
              </w:rPr>
            </w:pPr>
            <w:r w:rsidRPr="00EF535A">
              <w:rPr>
                <w:noProof/>
                <w:sz w:val="18"/>
                <w:szCs w:val="18"/>
                <w:lang w:eastAsia="pl-PL"/>
              </w:rPr>
              <w:drawing>
                <wp:inline distT="0" distB="0" distL="0" distR="0">
                  <wp:extent cx="2861945" cy="201930"/>
                  <wp:effectExtent l="0" t="0" r="0" b="0"/>
                  <wp:docPr id="1452031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1945" cy="201930"/>
                          </a:xfrm>
                          <a:prstGeom prst="rect">
                            <a:avLst/>
                          </a:prstGeom>
                          <a:noFill/>
                          <a:ln>
                            <a:noFill/>
                          </a:ln>
                        </pic:spPr>
                      </pic:pic>
                    </a:graphicData>
                  </a:graphic>
                </wp:inline>
              </w:drawing>
            </w:r>
          </w:p>
          <w:p w:rsidR="0034055A" w:rsidRPr="00EF535A" w:rsidRDefault="0034055A" w:rsidP="00196DDD">
            <w:pPr>
              <w:rPr>
                <w:sz w:val="18"/>
                <w:szCs w:val="18"/>
              </w:rPr>
            </w:pPr>
            <w:r w:rsidRPr="00EF535A">
              <w:rPr>
                <w:noProof/>
                <w:sz w:val="18"/>
                <w:szCs w:val="18"/>
                <w:lang w:eastAsia="pl-PL"/>
              </w:rPr>
              <w:drawing>
                <wp:inline distT="0" distB="0" distL="0" distR="0">
                  <wp:extent cx="5795010" cy="178435"/>
                  <wp:effectExtent l="0" t="0" r="0" b="0"/>
                  <wp:docPr id="75796484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95010" cy="178435"/>
                          </a:xfrm>
                          <a:prstGeom prst="rect">
                            <a:avLst/>
                          </a:prstGeom>
                          <a:noFill/>
                          <a:ln>
                            <a:noFill/>
                          </a:ln>
                        </pic:spPr>
                      </pic:pic>
                    </a:graphicData>
                  </a:graphic>
                </wp:inline>
              </w:drawing>
            </w:r>
          </w:p>
          <w:p w:rsidR="0034055A" w:rsidRPr="00EF535A" w:rsidRDefault="0034055A" w:rsidP="00196DDD">
            <w:pPr>
              <w:rPr>
                <w:sz w:val="18"/>
                <w:szCs w:val="18"/>
              </w:rPr>
            </w:pPr>
            <w:r w:rsidRPr="00EF535A">
              <w:rPr>
                <w:sz w:val="18"/>
                <w:szCs w:val="18"/>
              </w:rPr>
              <w:t> </w:t>
            </w:r>
          </w:p>
        </w:tc>
      </w:tr>
    </w:tbl>
    <w:p w:rsidR="0034055A" w:rsidRPr="007078D3" w:rsidRDefault="0034055A" w:rsidP="00196DDD">
      <w:pPr>
        <w:rPr>
          <w:color w:val="000000"/>
        </w:rPr>
      </w:pPr>
      <w:r w:rsidRPr="007078D3">
        <w:rPr>
          <w:color w:val="000000"/>
        </w:rPr>
        <w:t> </w:t>
      </w:r>
    </w:p>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196DDD"/>
    <w:p w:rsidR="00D50B30" w:rsidRPr="007078D3" w:rsidRDefault="00D50B30" w:rsidP="00ED04E8">
      <w:pPr>
        <w:rPr>
          <w:rFonts w:ascii="Times New Roman" w:hAnsi="Times New Roman" w:cs="Times New Roman"/>
          <w:szCs w:val="20"/>
        </w:rPr>
      </w:pPr>
    </w:p>
    <w:p w:rsidR="00D50B30" w:rsidRPr="007078D3" w:rsidRDefault="00D50B30" w:rsidP="00ED04E8">
      <w:pPr>
        <w:rPr>
          <w:rFonts w:ascii="Times New Roman" w:hAnsi="Times New Roman" w:cs="Times New Roman"/>
          <w:szCs w:val="20"/>
        </w:rPr>
      </w:pPr>
    </w:p>
    <w:p w:rsidR="00D50B30" w:rsidRPr="007078D3" w:rsidRDefault="00D50B30" w:rsidP="00ED04E8">
      <w:pPr>
        <w:rPr>
          <w:rFonts w:ascii="Times New Roman" w:hAnsi="Times New Roman" w:cs="Times New Roman"/>
          <w:szCs w:val="20"/>
        </w:rPr>
      </w:pPr>
    </w:p>
    <w:p w:rsidR="00196DDD" w:rsidRDefault="00196DDD" w:rsidP="00ED04E8">
      <w:pPr>
        <w:pStyle w:val="Bezodstpw"/>
        <w:spacing w:line="240" w:lineRule="auto"/>
        <w:rPr>
          <w:rFonts w:ascii="Times New Roman" w:hAnsi="Times New Roman" w:cs="Times New Roman"/>
          <w:sz w:val="20"/>
          <w:szCs w:val="20"/>
          <w:lang w:eastAsia="pl-PL"/>
        </w:rPr>
      </w:pPr>
      <w:bookmarkStart w:id="1032" w:name="_Toc160536785"/>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196DDD" w:rsidRDefault="00196DDD"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DA78E2" w:rsidRDefault="00DA78E2" w:rsidP="00ED04E8">
      <w:pPr>
        <w:pStyle w:val="Bezodstpw"/>
        <w:spacing w:line="240" w:lineRule="auto"/>
        <w:rPr>
          <w:rFonts w:ascii="Times New Roman" w:hAnsi="Times New Roman" w:cs="Times New Roman"/>
          <w:sz w:val="20"/>
          <w:szCs w:val="20"/>
          <w:lang w:eastAsia="pl-PL"/>
        </w:rPr>
      </w:pPr>
    </w:p>
    <w:p w:rsidR="00E906C6" w:rsidRPr="007078D3" w:rsidRDefault="00E906C6" w:rsidP="00ED04E8">
      <w:pPr>
        <w:pStyle w:val="Bezodstpw"/>
        <w:spacing w:line="240" w:lineRule="auto"/>
        <w:rPr>
          <w:rFonts w:ascii="Times New Roman" w:hAnsi="Times New Roman" w:cs="Times New Roman"/>
          <w:sz w:val="20"/>
          <w:szCs w:val="20"/>
          <w:lang w:eastAsia="pl-PL"/>
        </w:rPr>
      </w:pPr>
      <w:bookmarkStart w:id="1033" w:name="_Toc221170391"/>
      <w:r w:rsidRPr="007078D3">
        <w:rPr>
          <w:rFonts w:ascii="Times New Roman" w:hAnsi="Times New Roman" w:cs="Times New Roman"/>
          <w:sz w:val="20"/>
          <w:szCs w:val="20"/>
          <w:lang w:eastAsia="pl-PL"/>
        </w:rPr>
        <w:t>D – 04.04.02b PODBUDOWA  ZASADNICZA Z  MIESZANKI  KRUSZYWA  NIEZWIĄZANEGO</w:t>
      </w:r>
      <w:bookmarkEnd w:id="1032"/>
      <w:bookmarkEnd w:id="1033"/>
    </w:p>
    <w:p w:rsidR="00D50B30" w:rsidRPr="007078D3" w:rsidRDefault="00D50B30" w:rsidP="00ED04E8">
      <w:pPr>
        <w:rPr>
          <w:rFonts w:ascii="Times New Roman" w:hAnsi="Times New Roman" w:cs="Times New Roman"/>
          <w:szCs w:val="20"/>
        </w:rPr>
      </w:pPr>
    </w:p>
    <w:p w:rsidR="00385DEF" w:rsidRPr="007078D3" w:rsidRDefault="00385DEF" w:rsidP="00196DDD">
      <w:r w:rsidRPr="007078D3">
        <w:t>1. WSTĘP</w:t>
      </w:r>
    </w:p>
    <w:p w:rsidR="00385DEF" w:rsidRPr="007078D3" w:rsidRDefault="00385DEF" w:rsidP="00196DDD"/>
    <w:p w:rsidR="00385DEF" w:rsidRPr="007078D3" w:rsidRDefault="00385DEF" w:rsidP="00196DDD">
      <w:r w:rsidRPr="007078D3">
        <w:t>1.1. Przedmiot SST</w:t>
      </w:r>
    </w:p>
    <w:p w:rsidR="00385DEF" w:rsidRPr="007078D3" w:rsidRDefault="00385DEF" w:rsidP="00196DDD"/>
    <w:p w:rsidR="00385DEF" w:rsidRPr="007078D3" w:rsidRDefault="00385DEF" w:rsidP="00196DDD">
      <w:r w:rsidRPr="007078D3">
        <w:tab/>
        <w:t>Przedmiotem niniejszej ogólnej specyfikacji technicznej (SST) są wymagania dotyczące wykonania i odbioru robót związanych z wykonaniem podbudowy zasadniczej z mieszanki kruszywa niezwiązanego.</w:t>
      </w:r>
    </w:p>
    <w:p w:rsidR="00385DEF" w:rsidRPr="007078D3" w:rsidRDefault="00385DEF" w:rsidP="00196DDD"/>
    <w:p w:rsidR="00385DEF" w:rsidRPr="007078D3" w:rsidRDefault="00385DEF" w:rsidP="00196DDD">
      <w:r w:rsidRPr="007078D3">
        <w:t>1.2. Zakres stosowania SST</w:t>
      </w:r>
    </w:p>
    <w:p w:rsidR="00385DEF" w:rsidRPr="007078D3" w:rsidRDefault="00385DEF" w:rsidP="00196DDD"/>
    <w:p w:rsidR="00385DEF" w:rsidRPr="007078D3" w:rsidRDefault="00385DEF" w:rsidP="00196DDD">
      <w:pPr>
        <w:rPr>
          <w:i/>
        </w:rPr>
      </w:pPr>
      <w:r w:rsidRPr="007078D3">
        <w:t>Szczegółowa specyfikacja techniczna dotyczy robót wyszczególnionych w punkcie 1.3.</w:t>
      </w:r>
      <w:r w:rsidRPr="007078D3">
        <w:rPr>
          <w:i/>
        </w:rPr>
        <w:tab/>
      </w:r>
    </w:p>
    <w:p w:rsidR="00385DEF" w:rsidRPr="007078D3" w:rsidRDefault="00385DEF" w:rsidP="00196DDD">
      <w:r w:rsidRPr="007078D3">
        <w:t>           </w:t>
      </w:r>
    </w:p>
    <w:p w:rsidR="00385DEF" w:rsidRPr="007078D3" w:rsidRDefault="00385DEF" w:rsidP="00196DDD">
      <w:r w:rsidRPr="007078D3">
        <w:t xml:space="preserve">1.3. Zakres robót objętych </w:t>
      </w:r>
      <w:r w:rsidR="00D51F32" w:rsidRPr="007078D3">
        <w:t>SST</w:t>
      </w:r>
    </w:p>
    <w:p w:rsidR="00385DEF" w:rsidRPr="007078D3" w:rsidRDefault="00385DEF" w:rsidP="00196DDD">
      <w:r w:rsidRPr="007078D3">
        <w:t>            Ustalenia zawarte w niniejszej specyfikacji dotyczą zasad prowadzenia robót związanych z wykonaniem i odbiorem podbudowy zasadniczej z mieszanki kruszywa niezwiązanego, tj. ziarnistego materiału o określonym składzie, w procesie technologicznym, polegającym na odpowiednim zagęszczeniu przy optymalnej wilgotności mieszanki.</w:t>
      </w:r>
    </w:p>
    <w:p w:rsidR="00385DEF" w:rsidRPr="007078D3" w:rsidRDefault="00385DEF" w:rsidP="00196DDD">
      <w:r w:rsidRPr="007078D3">
        <w:t>            Mieszanka niezwiązana może być wytworzona z kruszyw naturalnych, sztucznych, kruszyw z recyklingu oraz mieszanin tych kruszyw w określonych proporcjach.</w:t>
      </w:r>
    </w:p>
    <w:p w:rsidR="00385DEF" w:rsidRPr="007078D3" w:rsidRDefault="00385DEF" w:rsidP="00196DDD">
      <w:r w:rsidRPr="007078D3">
        <w:t>            Podbudowa zasadnicza, stanowiąca górną część podbudowy w nawierzchni drogowej, zapewnia przenoszenie obciążeń z warstw wyżej leżących na warstwę podbudowy pomocniczej i podłoże.</w:t>
      </w:r>
    </w:p>
    <w:p w:rsidR="00385DEF" w:rsidRPr="007078D3" w:rsidRDefault="00385DEF" w:rsidP="00196DDD">
      <w:r w:rsidRPr="007078D3">
        <w:t>Podbudowa zasadnicza z mieszanki kruszywa niezwiązanego może być wykonywana w konstrukcji  drogi obciążonej ruchem kategorii KR1÷KR6.</w:t>
      </w:r>
    </w:p>
    <w:p w:rsidR="00385DEF" w:rsidRPr="007078D3" w:rsidRDefault="00385DEF" w:rsidP="00196DDD"/>
    <w:p w:rsidR="0034055A" w:rsidRPr="007078D3" w:rsidRDefault="0034055A" w:rsidP="00196DDD">
      <w:pPr>
        <w:rPr>
          <w:color w:val="000000"/>
        </w:rPr>
      </w:pPr>
      <w:r w:rsidRPr="007078D3">
        <w:rPr>
          <w:color w:val="000000"/>
        </w:rPr>
        <w:t>1.4. Określenia podstawowe</w:t>
      </w:r>
    </w:p>
    <w:p w:rsidR="0034055A" w:rsidRPr="00EF535A" w:rsidRDefault="0034055A" w:rsidP="00196DDD">
      <w:pPr>
        <w:rPr>
          <w:bCs/>
          <w:color w:val="000000"/>
        </w:rPr>
      </w:pPr>
      <w:bookmarkStart w:id="1034" w:name="_Toc160536786"/>
      <w:r w:rsidRPr="00EF535A">
        <w:rPr>
          <w:bCs/>
          <w:color w:val="000000"/>
        </w:rPr>
        <w:t>1.4.1. Mieszanka niezwiązana – ziarnisty materiał, zazwyczaj o określonym składzie ziarnowym (od d=0 do D), który jest stosowany do wykonania ulepszonego podłoża gruntowego oraz warstw konstrukcji nawierzchni dróg. Mieszanka niezwiązana może być wytworzona z kruszyw naturalnych, sztucznych, z recyklingu lub mieszaniny tych kruszyw w określonych proporcjach.</w:t>
      </w:r>
      <w:bookmarkEnd w:id="1034"/>
    </w:p>
    <w:p w:rsidR="0034055A" w:rsidRPr="00EF535A" w:rsidRDefault="0034055A" w:rsidP="00196DDD">
      <w:pPr>
        <w:rPr>
          <w:bCs/>
          <w:color w:val="000000"/>
        </w:rPr>
      </w:pPr>
      <w:bookmarkStart w:id="1035" w:name="_Toc160536787"/>
      <w:r w:rsidRPr="00EF535A">
        <w:rPr>
          <w:bCs/>
          <w:color w:val="000000"/>
        </w:rPr>
        <w:t>1.4.2. Kategoria – charakterystyczny poziom właściwości kruszywa lub mieszanki niezwiązanej, wyrażony, jako przedział wartości lub wartość graniczna. Nie ma zależności pomiędzy kategoriami różnych właściwości.</w:t>
      </w:r>
      <w:bookmarkEnd w:id="1035"/>
    </w:p>
    <w:p w:rsidR="0034055A" w:rsidRPr="00EF535A" w:rsidRDefault="0034055A" w:rsidP="00196DDD">
      <w:pPr>
        <w:rPr>
          <w:bCs/>
          <w:color w:val="000000"/>
        </w:rPr>
      </w:pPr>
      <w:bookmarkStart w:id="1036" w:name="_Toc160536788"/>
      <w:r w:rsidRPr="00EF535A">
        <w:rPr>
          <w:bCs/>
          <w:color w:val="000000"/>
        </w:rPr>
        <w:t>1.4.3. Kruszywo – materiał ziarnisty stosowany w budownictwie, który może być naturalny, sztuczny lub z recyklingu.</w:t>
      </w:r>
      <w:bookmarkEnd w:id="1036"/>
    </w:p>
    <w:p w:rsidR="0034055A" w:rsidRPr="00EF535A" w:rsidRDefault="0034055A" w:rsidP="00196DDD">
      <w:pPr>
        <w:rPr>
          <w:bCs/>
          <w:color w:val="000000"/>
        </w:rPr>
      </w:pPr>
      <w:bookmarkStart w:id="1037" w:name="_Toc160536789"/>
      <w:r w:rsidRPr="00EF535A">
        <w:rPr>
          <w:bCs/>
          <w:color w:val="000000"/>
        </w:rPr>
        <w:t>1.4.4. Kruszywo naturalne – kruszywo ze złóż naturalnych pochodzenia mineralnego, które może być poddane wyłącznie obróbce mechanicznej. Kruszywo naturalne jest uzyskiwane z mineralnych surowców naturalnych występujących w przyrodzie, jak żwir, piasek, żwir kruszony, kruszywo z mechanicznie rozdrobnionych skał, nadziarna żwirowego lub otoczaków.</w:t>
      </w:r>
      <w:bookmarkEnd w:id="1037"/>
    </w:p>
    <w:p w:rsidR="0034055A" w:rsidRPr="00EF535A" w:rsidRDefault="0034055A" w:rsidP="00196DDD">
      <w:pPr>
        <w:rPr>
          <w:bCs/>
          <w:color w:val="000000"/>
        </w:rPr>
      </w:pPr>
      <w:bookmarkStart w:id="1038" w:name="_Toc160536790"/>
      <w:r w:rsidRPr="00EF535A">
        <w:rPr>
          <w:bCs/>
          <w:color w:val="000000"/>
        </w:rPr>
        <w:t>1.4.5. Kruszywo sztuczne – kruszywo pochodzenia mineralnego, uzyskiwane w wyniku procesu przemysłowego obejmującego obróbkę termiczną lub inną modyfikację. Do kruszywa sztucznego zalicza się w szczególności kruszywo z żużli: wielkopiecowych, stalowniczych i pomiedziowych.</w:t>
      </w:r>
      <w:bookmarkEnd w:id="1038"/>
    </w:p>
    <w:p w:rsidR="0034055A" w:rsidRPr="00EF535A" w:rsidRDefault="0034055A" w:rsidP="00196DDD">
      <w:pPr>
        <w:rPr>
          <w:bCs/>
          <w:color w:val="000000"/>
        </w:rPr>
      </w:pPr>
      <w:bookmarkStart w:id="1039" w:name="_Toc160536791"/>
      <w:r w:rsidRPr="00EF535A">
        <w:rPr>
          <w:bCs/>
          <w:color w:val="000000"/>
        </w:rPr>
        <w:t>1.4.6. Kruszywo z recyklingu – kruszywo powstałe w wyniku przeróbki materiału zastosowanego uprzednio w budownictwie.</w:t>
      </w:r>
      <w:bookmarkEnd w:id="1039"/>
    </w:p>
    <w:p w:rsidR="0034055A" w:rsidRPr="00EF535A" w:rsidRDefault="0034055A" w:rsidP="00196DDD">
      <w:pPr>
        <w:rPr>
          <w:bCs/>
          <w:color w:val="000000"/>
        </w:rPr>
      </w:pPr>
      <w:bookmarkStart w:id="1040" w:name="_Toc160536792"/>
      <w:r w:rsidRPr="00EF535A">
        <w:rPr>
          <w:bCs/>
          <w:color w:val="000000"/>
        </w:rPr>
        <w:t>1.4.7. Kruszywo kamienne – kruszywo z mineralnych surowców jak żwir kruszony, mechanicznie rozdrobnione skały, nadziarno żwirowe.</w:t>
      </w:r>
      <w:bookmarkEnd w:id="1040"/>
    </w:p>
    <w:p w:rsidR="0034055A" w:rsidRPr="00EF535A" w:rsidRDefault="0034055A" w:rsidP="00196DDD">
      <w:pPr>
        <w:rPr>
          <w:bCs/>
          <w:color w:val="000000"/>
        </w:rPr>
      </w:pPr>
      <w:bookmarkStart w:id="1041" w:name="_Toc160536793"/>
      <w:r w:rsidRPr="00EF535A">
        <w:rPr>
          <w:bCs/>
          <w:color w:val="000000"/>
        </w:rPr>
        <w:t>1.4.8. Kruszywo żużlowe z żużla wielkopiecowego – kruszywo składające się głównie ze skrystalizowanych krzemianów lub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bookmarkEnd w:id="1041"/>
    </w:p>
    <w:p w:rsidR="0034055A" w:rsidRPr="00EF535A" w:rsidRDefault="0034055A" w:rsidP="00196DDD">
      <w:pPr>
        <w:rPr>
          <w:bCs/>
          <w:color w:val="000000"/>
        </w:rPr>
      </w:pPr>
      <w:bookmarkStart w:id="1042" w:name="_Toc160536794"/>
      <w:r w:rsidRPr="00EF535A">
        <w:rPr>
          <w:bCs/>
          <w:color w:val="000000"/>
        </w:rPr>
        <w:t>1.4.9. Kruszywo żużlowe z żużla stalowniczego – kruszywo składające się głównie ze skrystalizowanego krzemianu wapnia i ferrytu zawierającego </w:t>
      </w:r>
      <w:r w:rsidRPr="00EF535A">
        <w:rPr>
          <w:rStyle w:val="spelle"/>
          <w:rFonts w:ascii="Times New Roman" w:hAnsi="Times New Roman" w:cs="Times New Roman"/>
          <w:bCs/>
          <w:color w:val="000000"/>
          <w:szCs w:val="20"/>
        </w:rPr>
        <w:t>CaO</w:t>
      </w:r>
      <w:r w:rsidRPr="00EF535A">
        <w:rPr>
          <w:bCs/>
          <w:color w:val="000000"/>
        </w:rPr>
        <w:t>, SiO</w:t>
      </w:r>
      <w:r w:rsidRPr="00EF535A">
        <w:rPr>
          <w:bCs/>
          <w:color w:val="000000"/>
          <w:vertAlign w:val="subscript"/>
        </w:rPr>
        <w:t>2</w:t>
      </w:r>
      <w:r w:rsidRPr="00EF535A">
        <w:rPr>
          <w:bCs/>
          <w:color w:val="000000"/>
        </w:rPr>
        <w:t>, </w:t>
      </w:r>
      <w:r w:rsidRPr="00EF535A">
        <w:rPr>
          <w:rStyle w:val="spelle"/>
          <w:rFonts w:ascii="Times New Roman" w:hAnsi="Times New Roman" w:cs="Times New Roman"/>
          <w:bCs/>
          <w:color w:val="000000"/>
          <w:szCs w:val="20"/>
        </w:rPr>
        <w:t>MgO</w:t>
      </w:r>
      <w:r w:rsidRPr="00EF535A">
        <w:rPr>
          <w:bCs/>
          <w:color w:val="000000"/>
        </w:rPr>
        <w:t> oraz tlenek żelaza. Kruszywo otrzymuje się przez powolne schładzanie powietrzem ciekłego żużla stalowniczego. Proces chłodzenia może odbywać się przy kontrolowanym dodawaniu wody.</w:t>
      </w:r>
      <w:bookmarkEnd w:id="1042"/>
    </w:p>
    <w:p w:rsidR="0034055A" w:rsidRPr="00EF535A" w:rsidRDefault="0034055A" w:rsidP="00196DDD">
      <w:pPr>
        <w:rPr>
          <w:bCs/>
          <w:color w:val="000000"/>
        </w:rPr>
      </w:pPr>
      <w:bookmarkStart w:id="1043" w:name="_Toc160536795"/>
      <w:r w:rsidRPr="00EF535A">
        <w:rPr>
          <w:bCs/>
          <w:color w:val="000000"/>
        </w:rPr>
        <w:t>1.4.10. </w:t>
      </w:r>
      <w:bookmarkStart w:id="1044" w:name="_Hlk112157209"/>
      <w:r w:rsidRPr="00EF535A">
        <w:rPr>
          <w:bCs/>
          <w:color w:val="000000"/>
        </w:rPr>
        <w:t>Kategoria ruchu (KR1÷KR7) – jeden z przedziałów określających ruch projektowy od KR1 do KR7 w zależności od sumarycznej liczby osi równoważnych 100 </w:t>
      </w:r>
      <w:bookmarkEnd w:id="1044"/>
      <w:r w:rsidRPr="00EF535A">
        <w:rPr>
          <w:rStyle w:val="spelle"/>
          <w:rFonts w:ascii="Times New Roman" w:hAnsi="Times New Roman" w:cs="Times New Roman"/>
          <w:bCs/>
          <w:color w:val="000000"/>
          <w:szCs w:val="20"/>
        </w:rPr>
        <w:t>kN</w:t>
      </w:r>
      <w:r w:rsidRPr="00EF535A">
        <w:rPr>
          <w:bCs/>
          <w:color w:val="000000"/>
        </w:rPr>
        <w:t> w okresie projektowym według „Katalogu typowych konstrukcji nawierzchni podatnych i półsztywnych”, GDDKiA, Warszawa 2014 [23].</w:t>
      </w:r>
      <w:bookmarkEnd w:id="1043"/>
    </w:p>
    <w:p w:rsidR="0034055A" w:rsidRPr="00EF535A" w:rsidRDefault="0034055A" w:rsidP="00196DDD">
      <w:pPr>
        <w:rPr>
          <w:bCs/>
          <w:color w:val="000000"/>
        </w:rPr>
      </w:pPr>
      <w:bookmarkStart w:id="1045" w:name="_Toc160536796"/>
      <w:r w:rsidRPr="00EF535A">
        <w:rPr>
          <w:bCs/>
          <w:color w:val="000000"/>
        </w:rPr>
        <w:t>1.4.11. Kruszywo grube (wg PN-EN 13242) – oznaczenie kruszywa o wymiarach ziaren </w:t>
      </w:r>
      <w:r w:rsidRPr="00EF535A">
        <w:rPr>
          <w:bCs/>
          <w:i/>
          <w:iCs/>
          <w:color w:val="000000"/>
        </w:rPr>
        <w:t>d </w:t>
      </w:r>
      <w:r w:rsidRPr="00EF535A">
        <w:rPr>
          <w:bCs/>
          <w:color w:val="000000"/>
        </w:rPr>
        <w:t>(dolnego) równym lub większym niż 1 mm oraz </w:t>
      </w:r>
      <w:r w:rsidRPr="00EF535A">
        <w:rPr>
          <w:bCs/>
          <w:i/>
          <w:iCs/>
          <w:color w:val="000000"/>
        </w:rPr>
        <w:t>D </w:t>
      </w:r>
      <w:r w:rsidRPr="00EF535A">
        <w:rPr>
          <w:bCs/>
          <w:color w:val="000000"/>
        </w:rPr>
        <w:t>(górnego) większym niż 2 mm.</w:t>
      </w:r>
      <w:bookmarkEnd w:id="1045"/>
    </w:p>
    <w:p w:rsidR="0034055A" w:rsidRPr="00EF535A" w:rsidRDefault="0034055A" w:rsidP="00196DDD">
      <w:pPr>
        <w:rPr>
          <w:bCs/>
          <w:color w:val="000000"/>
        </w:rPr>
      </w:pPr>
      <w:bookmarkStart w:id="1046" w:name="_Toc160536797"/>
      <w:r w:rsidRPr="00EF535A">
        <w:rPr>
          <w:bCs/>
          <w:color w:val="000000"/>
        </w:rPr>
        <w:t>1.4.12. Kruszywo drobne (wg PN-EN 13242) – oznaczenie kruszywa o wymiarach ziaren </w:t>
      </w:r>
      <w:r w:rsidRPr="00EF535A">
        <w:rPr>
          <w:bCs/>
          <w:i/>
          <w:iCs/>
          <w:color w:val="000000"/>
        </w:rPr>
        <w:t>d</w:t>
      </w:r>
      <w:r w:rsidRPr="00EF535A">
        <w:rPr>
          <w:bCs/>
          <w:color w:val="000000"/>
        </w:rPr>
        <w:t> równym 0 oraz </w:t>
      </w:r>
      <w:r w:rsidRPr="00EF535A">
        <w:rPr>
          <w:bCs/>
          <w:i/>
          <w:iCs/>
          <w:color w:val="000000"/>
        </w:rPr>
        <w:t>D</w:t>
      </w:r>
      <w:r w:rsidRPr="00EF535A">
        <w:rPr>
          <w:bCs/>
          <w:color w:val="000000"/>
        </w:rPr>
        <w:t> równym 6,3 mm lub mniejszym.</w:t>
      </w:r>
      <w:bookmarkEnd w:id="1046"/>
    </w:p>
    <w:p w:rsidR="0034055A" w:rsidRPr="00EF535A" w:rsidRDefault="0034055A" w:rsidP="00196DDD">
      <w:pPr>
        <w:rPr>
          <w:bCs/>
          <w:color w:val="000000"/>
        </w:rPr>
      </w:pPr>
      <w:bookmarkStart w:id="1047" w:name="_Toc160536798"/>
      <w:r w:rsidRPr="00EF535A">
        <w:rPr>
          <w:bCs/>
          <w:color w:val="000000"/>
        </w:rPr>
        <w:t>1.4.13. Kruszywo o ciągłym uziarnieniu (wg PN-EN 13242) – kruszywo stanowiące mieszankę kruszyw grubych i drobnych, w której </w:t>
      </w:r>
      <w:r w:rsidRPr="00EF535A">
        <w:rPr>
          <w:bCs/>
          <w:i/>
          <w:iCs/>
          <w:color w:val="000000"/>
        </w:rPr>
        <w:t>D</w:t>
      </w:r>
      <w:r w:rsidRPr="00EF535A">
        <w:rPr>
          <w:bCs/>
          <w:color w:val="000000"/>
        </w:rPr>
        <w:t> jest większe niż 6,3 mm.</w:t>
      </w:r>
      <w:bookmarkEnd w:id="1047"/>
    </w:p>
    <w:p w:rsidR="0034055A" w:rsidRPr="00EF535A" w:rsidRDefault="0034055A" w:rsidP="00196DDD">
      <w:pPr>
        <w:rPr>
          <w:bCs/>
          <w:color w:val="000000"/>
        </w:rPr>
      </w:pPr>
      <w:bookmarkStart w:id="1048" w:name="_Toc160536799"/>
      <w:r w:rsidRPr="00EF535A">
        <w:rPr>
          <w:bCs/>
          <w:color w:val="000000"/>
        </w:rPr>
        <w:t>1.4.14. Destrukt asfaltowy – materiał drogowy pochodzący z frezowania istniejących warstw z mieszanek mineralno-asfaltowych (</w:t>
      </w:r>
      <w:r w:rsidRPr="00EF535A">
        <w:rPr>
          <w:rStyle w:val="spelle"/>
          <w:rFonts w:ascii="Times New Roman" w:hAnsi="Times New Roman" w:cs="Times New Roman"/>
          <w:bCs/>
          <w:color w:val="000000"/>
          <w:szCs w:val="20"/>
        </w:rPr>
        <w:t>mma</w:t>
      </w:r>
      <w:r w:rsidRPr="00EF535A">
        <w:rPr>
          <w:bCs/>
          <w:color w:val="000000"/>
        </w:rPr>
        <w:t>) lub z przekruszenia kawałków warstw nawierzchni asfaltowych oraz niewbudowanych partii </w:t>
      </w:r>
      <w:r w:rsidRPr="00EF535A">
        <w:rPr>
          <w:rStyle w:val="spelle"/>
          <w:rFonts w:ascii="Times New Roman" w:hAnsi="Times New Roman" w:cs="Times New Roman"/>
          <w:bCs/>
          <w:color w:val="000000"/>
          <w:szCs w:val="20"/>
        </w:rPr>
        <w:t>mma</w:t>
      </w:r>
      <w:r w:rsidRPr="00EF535A">
        <w:rPr>
          <w:bCs/>
          <w:color w:val="000000"/>
        </w:rPr>
        <w:t>, który został ujednorodniony pod względem składu oraz co najmniej przesiany, w celu odrzucenia dużych kawałków </w:t>
      </w:r>
      <w:r w:rsidRPr="00EF535A">
        <w:rPr>
          <w:rStyle w:val="spelle"/>
          <w:rFonts w:ascii="Times New Roman" w:hAnsi="Times New Roman" w:cs="Times New Roman"/>
          <w:bCs/>
          <w:color w:val="000000"/>
          <w:szCs w:val="20"/>
        </w:rPr>
        <w:t>mma</w:t>
      </w:r>
      <w:r w:rsidRPr="00EF535A">
        <w:rPr>
          <w:bCs/>
          <w:color w:val="000000"/>
        </w:rPr>
        <w:t> (nadziarno nie większe od 1,4 D mieszanki niezwiązanej).</w:t>
      </w:r>
      <w:bookmarkEnd w:id="1048"/>
    </w:p>
    <w:p w:rsidR="0034055A" w:rsidRPr="00EF535A" w:rsidRDefault="0034055A" w:rsidP="00196DDD">
      <w:pPr>
        <w:rPr>
          <w:bCs/>
          <w:color w:val="000000"/>
        </w:rPr>
      </w:pPr>
      <w:bookmarkStart w:id="1049" w:name="_Toc160536800"/>
      <w:r w:rsidRPr="00EF535A">
        <w:rPr>
          <w:bCs/>
          <w:color w:val="000000"/>
        </w:rPr>
        <w:t>1.4.15. Kruszywo słabe – kruszywo przewidziane do zastosowania w mieszance przeznaczonej do wykonywania warstw nawierzchni drogowej lub podłoża ulepszonego, które charakteryzuje się różnicami w uziarnieniu przed i po 5-krotnym zagęszczeniu metodą </w:t>
      </w:r>
      <w:r w:rsidRPr="00EF535A">
        <w:rPr>
          <w:rStyle w:val="spelle"/>
          <w:rFonts w:ascii="Times New Roman" w:hAnsi="Times New Roman" w:cs="Times New Roman"/>
          <w:bCs/>
          <w:color w:val="000000"/>
          <w:szCs w:val="20"/>
        </w:rPr>
        <w:t>Proctora</w:t>
      </w:r>
      <w:r w:rsidRPr="00EF535A">
        <w:rPr>
          <w:bCs/>
          <w:color w:val="000000"/>
        </w:rPr>
        <w:t xml:space="preserve">, przekraczającymi ± 8%. Uziarnienie kruszywa należy sprawdzać na sitach przewidzianych do kontroli uziarnienia wg PN-EN 13285 i niniejszej </w:t>
      </w:r>
      <w:r w:rsidR="00985629">
        <w:rPr>
          <w:bCs/>
          <w:color w:val="000000"/>
        </w:rPr>
        <w:t>SST</w:t>
      </w:r>
      <w:r w:rsidRPr="00EF535A">
        <w:rPr>
          <w:bCs/>
          <w:color w:val="000000"/>
        </w:rPr>
        <w:t>. O zakwalifikowaniu kruszywa do kruszyw słabych decyduje największa różnica wartości przesiewów na jednym z sit kontrolnych.</w:t>
      </w:r>
      <w:bookmarkEnd w:id="1049"/>
    </w:p>
    <w:p w:rsidR="0034055A" w:rsidRPr="00EF535A" w:rsidRDefault="0034055A" w:rsidP="00196DDD">
      <w:pPr>
        <w:rPr>
          <w:bCs/>
          <w:color w:val="000000"/>
        </w:rPr>
      </w:pPr>
      <w:bookmarkStart w:id="1050" w:name="_Toc160536801"/>
      <w:r w:rsidRPr="00EF535A">
        <w:rPr>
          <w:bCs/>
          <w:color w:val="000000"/>
        </w:rPr>
        <w:lastRenderedPageBreak/>
        <w:t>1.4.16. Podbudowa – dolna część konstrukcji nawierzchni drogi, służąca do przenoszenia obciążeń z ruchu na podłoże. Podbudowa może składać się z podbudowy zasadniczej i pomocniczej, które mogą być wykonywane w kilku warstwach technologicznych.</w:t>
      </w:r>
      <w:bookmarkEnd w:id="1050"/>
    </w:p>
    <w:p w:rsidR="0034055A" w:rsidRPr="00EF535A" w:rsidRDefault="0034055A" w:rsidP="00196DDD">
      <w:pPr>
        <w:rPr>
          <w:bCs/>
          <w:color w:val="000000"/>
        </w:rPr>
      </w:pPr>
      <w:bookmarkStart w:id="1051" w:name="_Toc160536802"/>
      <w:r w:rsidRPr="00EF535A">
        <w:rPr>
          <w:bCs/>
          <w:color w:val="000000"/>
        </w:rPr>
        <w:t>1.4.17. Podbudowa zasadnicza – warstwa zapewniająca przenoszenie obciążeń z warstw wyżej leżących na warstwę podbudowy pomocniczej lub podłoże.</w:t>
      </w:r>
      <w:bookmarkEnd w:id="1051"/>
    </w:p>
    <w:p w:rsidR="0034055A" w:rsidRPr="00EF535A" w:rsidRDefault="0034055A" w:rsidP="00196DDD">
      <w:pPr>
        <w:rPr>
          <w:bCs/>
          <w:color w:val="000000"/>
        </w:rPr>
      </w:pPr>
      <w:bookmarkStart w:id="1052" w:name="_Toc160536803"/>
      <w:r w:rsidRPr="00EF535A">
        <w:rPr>
          <w:bCs/>
          <w:color w:val="000000"/>
        </w:rPr>
        <w:t>1.4.18. Symbole i skróty dodatkowe</w:t>
      </w:r>
      <w:bookmarkEnd w:id="1052"/>
    </w:p>
    <w:p w:rsidR="0034055A" w:rsidRPr="00EF535A" w:rsidRDefault="0034055A" w:rsidP="00196DDD">
      <w:pPr>
        <w:rPr>
          <w:bCs/>
          <w:color w:val="000000"/>
        </w:rPr>
      </w:pPr>
      <w:bookmarkStart w:id="1053" w:name="_Toc160536804"/>
      <w:r w:rsidRPr="00EF535A">
        <w:rPr>
          <w:bCs/>
          <w:color w:val="000000"/>
        </w:rPr>
        <w:t>% m/m   procent masy,</w:t>
      </w:r>
      <w:bookmarkEnd w:id="1053"/>
    </w:p>
    <w:p w:rsidR="0034055A" w:rsidRPr="00EF535A" w:rsidRDefault="0034055A" w:rsidP="00196DDD">
      <w:pPr>
        <w:rPr>
          <w:bCs/>
          <w:color w:val="000000"/>
        </w:rPr>
      </w:pPr>
      <w:bookmarkStart w:id="1054" w:name="_Toc160536805"/>
      <w:r w:rsidRPr="00EF535A">
        <w:rPr>
          <w:bCs/>
          <w:color w:val="000000"/>
        </w:rPr>
        <w:t>NR         brak konieczności badania danej cechy,</w:t>
      </w:r>
      <w:bookmarkEnd w:id="1054"/>
    </w:p>
    <w:p w:rsidR="0034055A" w:rsidRPr="00EF535A" w:rsidRDefault="0034055A" w:rsidP="00196DDD">
      <w:pPr>
        <w:rPr>
          <w:bCs/>
          <w:color w:val="000000"/>
        </w:rPr>
      </w:pPr>
      <w:bookmarkStart w:id="1055" w:name="_Toc160536806"/>
      <w:r w:rsidRPr="00EF535A">
        <w:rPr>
          <w:bCs/>
          <w:color w:val="000000"/>
        </w:rPr>
        <w:t>CRB       kalifornijski wskaźnik nośności, %</w:t>
      </w:r>
      <w:bookmarkEnd w:id="1055"/>
    </w:p>
    <w:p w:rsidR="0034055A" w:rsidRPr="00EF535A" w:rsidRDefault="0034055A" w:rsidP="00196DDD">
      <w:pPr>
        <w:rPr>
          <w:bCs/>
          <w:color w:val="000000"/>
        </w:rPr>
      </w:pPr>
      <w:bookmarkStart w:id="1056" w:name="_Toc160536807"/>
      <w:r w:rsidRPr="00EF535A">
        <w:rPr>
          <w:bCs/>
          <w:color w:val="000000"/>
        </w:rPr>
        <w:t>SDV   obszar  uziarnienia,  w  którym  powinna  się mieścić  krzywa  uziarnienia mieszanki (S)  deklarowana przez dostawcę/producenta,</w:t>
      </w:r>
      <w:bookmarkEnd w:id="1056"/>
    </w:p>
    <w:p w:rsidR="0034055A" w:rsidRPr="00EF535A" w:rsidRDefault="0034055A" w:rsidP="00196DDD">
      <w:pPr>
        <w:rPr>
          <w:bCs/>
          <w:color w:val="000000"/>
        </w:rPr>
      </w:pPr>
      <w:bookmarkStart w:id="1057" w:name="_Toc160536808"/>
      <w:r w:rsidRPr="00EF535A">
        <w:rPr>
          <w:bCs/>
          <w:color w:val="000000"/>
        </w:rPr>
        <w:t>ZKP       zakładowa kontrola produkcji.</w:t>
      </w:r>
      <w:bookmarkEnd w:id="1057"/>
    </w:p>
    <w:p w:rsidR="0034055A" w:rsidRPr="00EF535A" w:rsidRDefault="0034055A" w:rsidP="00196DDD">
      <w:pPr>
        <w:rPr>
          <w:bCs/>
          <w:color w:val="000000"/>
        </w:rPr>
      </w:pPr>
      <w:r w:rsidRPr="00EF535A">
        <w:rPr>
          <w:bCs/>
          <w:color w:val="000000"/>
        </w:rPr>
        <w:t xml:space="preserve">1.4.19. Pozostałe określenia podstawowe są zgodne z obowiązującymi, odpowiednimi polskimi normami i z definicjami podanymi w </w:t>
      </w:r>
      <w:r w:rsidR="00985629">
        <w:rPr>
          <w:bCs/>
          <w:color w:val="000000"/>
        </w:rPr>
        <w:t>SST</w:t>
      </w:r>
      <w:r w:rsidRPr="00EF535A">
        <w:rPr>
          <w:bCs/>
          <w:color w:val="000000"/>
        </w:rPr>
        <w:t xml:space="preserve"> D-M-00.00.00 „Wymagania ogólne” [1], pkt 1.4.</w:t>
      </w:r>
    </w:p>
    <w:p w:rsidR="0034055A" w:rsidRPr="00EF535A" w:rsidRDefault="0034055A" w:rsidP="00196DDD">
      <w:pPr>
        <w:rPr>
          <w:bCs/>
          <w:color w:val="000000"/>
        </w:rPr>
      </w:pPr>
      <w:r w:rsidRPr="00EF535A">
        <w:rPr>
          <w:bCs/>
          <w:color w:val="000000"/>
        </w:rPr>
        <w:t>1.5. Ogólne wymagania dotyczące robót</w:t>
      </w:r>
    </w:p>
    <w:p w:rsidR="0034055A" w:rsidRPr="00EF535A" w:rsidRDefault="0034055A" w:rsidP="00196DDD">
      <w:pPr>
        <w:rPr>
          <w:bCs/>
          <w:color w:val="000000"/>
        </w:rPr>
      </w:pPr>
      <w:r w:rsidRPr="00EF535A">
        <w:rPr>
          <w:bCs/>
          <w:color w:val="000000"/>
        </w:rPr>
        <w:t xml:space="preserve">            Ogólne wymagania dotyczące robót podano w </w:t>
      </w:r>
      <w:r w:rsidR="00985629">
        <w:rPr>
          <w:bCs/>
          <w:color w:val="000000"/>
        </w:rPr>
        <w:t>SST</w:t>
      </w:r>
      <w:r w:rsidRPr="00EF535A">
        <w:rPr>
          <w:bCs/>
          <w:color w:val="000000"/>
        </w:rPr>
        <w:t xml:space="preserve"> D-M-00.00.00 „Wymagania ogólne” [1], pkt 1.5.</w:t>
      </w:r>
    </w:p>
    <w:p w:rsidR="0034055A" w:rsidRPr="00EF535A" w:rsidRDefault="0034055A" w:rsidP="00196DDD">
      <w:pPr>
        <w:rPr>
          <w:bCs/>
          <w:caps/>
          <w:color w:val="000000"/>
        </w:rPr>
      </w:pPr>
      <w:bookmarkStart w:id="1058" w:name="_Toc344981394"/>
      <w:r w:rsidRPr="00EF535A">
        <w:rPr>
          <w:bCs/>
          <w:caps/>
          <w:color w:val="000000"/>
        </w:rPr>
        <w:t>2. MATERIAŁY</w:t>
      </w:r>
      <w:bookmarkEnd w:id="1058"/>
    </w:p>
    <w:p w:rsidR="0034055A" w:rsidRPr="00EF535A" w:rsidRDefault="0034055A" w:rsidP="00196DDD">
      <w:pPr>
        <w:rPr>
          <w:bCs/>
          <w:color w:val="000000"/>
        </w:rPr>
      </w:pPr>
      <w:bookmarkStart w:id="1059" w:name="_Toc344981395"/>
      <w:r w:rsidRPr="00EF535A">
        <w:rPr>
          <w:bCs/>
          <w:color w:val="000000"/>
        </w:rPr>
        <w:t>2.1. Ogólne wymagania dotyczące materiałów</w:t>
      </w:r>
      <w:bookmarkEnd w:id="1059"/>
    </w:p>
    <w:p w:rsidR="0034055A" w:rsidRPr="00EF535A" w:rsidRDefault="0034055A" w:rsidP="00196DDD">
      <w:pPr>
        <w:rPr>
          <w:bCs/>
          <w:color w:val="000000"/>
        </w:rPr>
      </w:pPr>
      <w:r w:rsidRPr="00EF535A">
        <w:rPr>
          <w:bCs/>
          <w:color w:val="000000"/>
        </w:rPr>
        <w:t xml:space="preserve">            Ogólne wymagania dotyczące materiałów, ich pozyskiwania i składowania, podano w </w:t>
      </w:r>
      <w:r w:rsidR="00985629">
        <w:rPr>
          <w:bCs/>
          <w:color w:val="000000"/>
        </w:rPr>
        <w:t>SST</w:t>
      </w:r>
      <w:r w:rsidRPr="00EF535A">
        <w:rPr>
          <w:bCs/>
          <w:color w:val="000000"/>
        </w:rPr>
        <w:t xml:space="preserve"> D-M-00.00.00 „Wymagania ogólne” [1], pkt 2.</w:t>
      </w:r>
    </w:p>
    <w:p w:rsidR="0034055A" w:rsidRPr="00EF535A" w:rsidRDefault="0034055A" w:rsidP="00196DDD">
      <w:pPr>
        <w:rPr>
          <w:bCs/>
          <w:color w:val="000000"/>
        </w:rPr>
      </w:pPr>
      <w:r w:rsidRPr="00EF535A">
        <w:rPr>
          <w:bCs/>
          <w:color w:val="000000"/>
        </w:rPr>
        <w:t>2.2. Materiały do wykonania robót</w:t>
      </w:r>
    </w:p>
    <w:p w:rsidR="0034055A" w:rsidRPr="00EF535A" w:rsidRDefault="0034055A" w:rsidP="00196DDD">
      <w:pPr>
        <w:rPr>
          <w:bCs/>
          <w:color w:val="000000"/>
        </w:rPr>
      </w:pPr>
      <w:r w:rsidRPr="00EF535A">
        <w:rPr>
          <w:bCs/>
          <w:color w:val="000000"/>
        </w:rPr>
        <w:t>2.2.1.  Zgodność materiałów z dokumentacją projektową</w:t>
      </w:r>
    </w:p>
    <w:p w:rsidR="0034055A" w:rsidRPr="00EF535A" w:rsidRDefault="0034055A" w:rsidP="00196DDD">
      <w:pPr>
        <w:rPr>
          <w:bCs/>
          <w:color w:val="000000"/>
        </w:rPr>
      </w:pPr>
      <w:r w:rsidRPr="00EF535A">
        <w:rPr>
          <w:bCs/>
          <w:color w:val="000000"/>
        </w:rPr>
        <w:t>            Materiały do wykonania robót powinny być zgodne z ustaleniami dokumentacji projektowej lub ST.</w:t>
      </w:r>
    </w:p>
    <w:p w:rsidR="0034055A" w:rsidRPr="00EF535A" w:rsidRDefault="0034055A" w:rsidP="00196DDD">
      <w:pPr>
        <w:rPr>
          <w:bCs/>
          <w:color w:val="000000"/>
        </w:rPr>
      </w:pPr>
      <w:r w:rsidRPr="00EF535A">
        <w:rPr>
          <w:bCs/>
          <w:color w:val="000000"/>
        </w:rPr>
        <w:t>2.2.2. Materiały wchodzące w skład mieszanki</w:t>
      </w:r>
    </w:p>
    <w:p w:rsidR="0034055A" w:rsidRPr="00EF535A" w:rsidRDefault="0034055A" w:rsidP="00196DDD">
      <w:pPr>
        <w:rPr>
          <w:bCs/>
          <w:color w:val="000000"/>
        </w:rPr>
      </w:pPr>
      <w:r w:rsidRPr="00EF535A">
        <w:rPr>
          <w:bCs/>
          <w:color w:val="000000"/>
        </w:rPr>
        <w:t xml:space="preserve">            </w:t>
      </w:r>
      <w:bookmarkStart w:id="1060" w:name="_Toc160536809"/>
      <w:r w:rsidRPr="00EF535A">
        <w:rPr>
          <w:bCs/>
          <w:color w:val="000000"/>
        </w:rPr>
        <w:t>Materiałami stosowanymi do wytwarzania mieszanek z kruszywa niezwiązanego są:</w:t>
      </w:r>
      <w:bookmarkEnd w:id="1060"/>
    </w:p>
    <w:p w:rsidR="0034055A" w:rsidRPr="00EF535A" w:rsidRDefault="0034055A" w:rsidP="00196DDD">
      <w:pPr>
        <w:rPr>
          <w:bCs/>
          <w:color w:val="000000"/>
        </w:rPr>
      </w:pPr>
      <w:bookmarkStart w:id="1061" w:name="_Toc160536810"/>
      <w:r w:rsidRPr="00EF535A">
        <w:rPr>
          <w:bCs/>
          <w:color w:val="000000"/>
        </w:rPr>
        <w:t>–       kruszywo,</w:t>
      </w:r>
      <w:bookmarkEnd w:id="1061"/>
    </w:p>
    <w:p w:rsidR="0034055A" w:rsidRPr="007078D3" w:rsidRDefault="0034055A" w:rsidP="00196DDD">
      <w:pPr>
        <w:rPr>
          <w:color w:val="000000"/>
        </w:rPr>
      </w:pPr>
      <w:bookmarkStart w:id="1062" w:name="_Toc160536811"/>
      <w:r w:rsidRPr="00EF535A">
        <w:rPr>
          <w:bCs/>
          <w:color w:val="000000"/>
        </w:rPr>
        <w:t>–       woda do zraszania kruszywa</w:t>
      </w:r>
      <w:r w:rsidRPr="007078D3">
        <w:rPr>
          <w:color w:val="000000"/>
        </w:rPr>
        <w:t>.</w:t>
      </w:r>
      <w:bookmarkEnd w:id="1062"/>
    </w:p>
    <w:p w:rsidR="0034055A" w:rsidRPr="007078D3" w:rsidRDefault="0034055A" w:rsidP="00196DDD">
      <w:pPr>
        <w:rPr>
          <w:color w:val="000000"/>
        </w:rPr>
      </w:pPr>
      <w:bookmarkStart w:id="1063" w:name="_Toc160536812"/>
      <w:r w:rsidRPr="007078D3">
        <w:rPr>
          <w:b/>
          <w:bCs/>
          <w:color w:val="000000"/>
        </w:rPr>
        <w:t>2.2.3</w:t>
      </w:r>
      <w:r w:rsidRPr="007078D3">
        <w:rPr>
          <w:color w:val="000000"/>
        </w:rPr>
        <w:t>. Kruszywa</w:t>
      </w:r>
      <w:bookmarkEnd w:id="1063"/>
    </w:p>
    <w:p w:rsidR="0034055A" w:rsidRPr="007078D3" w:rsidRDefault="0034055A" w:rsidP="00196DDD">
      <w:pPr>
        <w:rPr>
          <w:color w:val="000000"/>
        </w:rPr>
      </w:pPr>
      <w:r w:rsidRPr="007078D3">
        <w:rPr>
          <w:color w:val="000000"/>
        </w:rPr>
        <w:t>          Do mieszanek można stosować następujące rodzaje kruszyw:</w:t>
      </w:r>
    </w:p>
    <w:p w:rsidR="0034055A" w:rsidRPr="007078D3" w:rsidRDefault="0034055A" w:rsidP="00196DDD">
      <w:pPr>
        <w:rPr>
          <w:color w:val="000000"/>
        </w:rPr>
      </w:pPr>
      <w:r w:rsidRPr="007078D3">
        <w:rPr>
          <w:color w:val="000000"/>
        </w:rPr>
        <w:t>a)   kruszywo naturalne lub sztuczne,</w:t>
      </w:r>
    </w:p>
    <w:p w:rsidR="0034055A" w:rsidRPr="007078D3" w:rsidRDefault="0034055A" w:rsidP="00196DDD">
      <w:pPr>
        <w:rPr>
          <w:color w:val="000000"/>
        </w:rPr>
      </w:pPr>
      <w:r w:rsidRPr="007078D3">
        <w:rPr>
          <w:color w:val="000000"/>
        </w:rPr>
        <w:t>b)  kruszywo z recyklingu,</w:t>
      </w:r>
    </w:p>
    <w:p w:rsidR="0034055A" w:rsidRPr="007078D3" w:rsidRDefault="0034055A" w:rsidP="00196DDD">
      <w:pPr>
        <w:rPr>
          <w:color w:val="000000"/>
        </w:rPr>
      </w:pPr>
      <w:r w:rsidRPr="007078D3">
        <w:rPr>
          <w:color w:val="000000"/>
        </w:rPr>
        <w:t>c)   połączenie kruszyw wymienionych w punktach a) i b) z określeniem proporcji kruszyw z a) i b) z dokładnością ± 5% m/m.</w:t>
      </w:r>
    </w:p>
    <w:p w:rsidR="0034055A" w:rsidRPr="007078D3" w:rsidRDefault="0034055A" w:rsidP="00196DDD">
      <w:pPr>
        <w:rPr>
          <w:color w:val="000000"/>
        </w:rPr>
      </w:pPr>
      <w:r w:rsidRPr="007078D3">
        <w:rPr>
          <w:color w:val="000000"/>
        </w:rPr>
        <w:t>         Wymagania wobec kruszywa do warstwy podbudowy zasadniczej przedstawia tabela 1.</w:t>
      </w:r>
    </w:p>
    <w:p w:rsidR="0034055A" w:rsidRPr="007078D3" w:rsidRDefault="0034055A" w:rsidP="00196DDD">
      <w:pPr>
        <w:rPr>
          <w:color w:val="000000"/>
        </w:rPr>
      </w:pPr>
      <w:r w:rsidRPr="007078D3">
        <w:rPr>
          <w:color w:val="000000"/>
        </w:rPr>
        <w:t xml:space="preserve">Mieszanki o górnym wymiarze ziaren (D) większym niż 80 mm nie są objęte normą PN-EN 13285 [17] i niniejszą </w:t>
      </w:r>
      <w:r w:rsidR="00985629">
        <w:rPr>
          <w:color w:val="000000"/>
        </w:rPr>
        <w:t>SST</w:t>
      </w:r>
      <w:r w:rsidRPr="007078D3">
        <w:rPr>
          <w:color w:val="000000"/>
        </w:rPr>
        <w:t>.</w:t>
      </w:r>
    </w:p>
    <w:p w:rsidR="0034055A" w:rsidRPr="007078D3" w:rsidRDefault="0034055A" w:rsidP="00196DDD">
      <w:pPr>
        <w:rPr>
          <w:color w:val="000000"/>
        </w:rPr>
      </w:pPr>
      <w:r w:rsidRPr="007078D3">
        <w:rPr>
          <w:color w:val="000000"/>
        </w:rPr>
        <w:t>Tabela 1. Wymagania według WT-4 [21] i PN-EN 13242 [16] wobec kruszyw do mieszanek niezwiązanych w warstwie podbudowy zasadniczej</w:t>
      </w:r>
    </w:p>
    <w:p w:rsidR="0034055A" w:rsidRPr="007078D3" w:rsidRDefault="0034055A" w:rsidP="00196DDD">
      <w:pPr>
        <w:rPr>
          <w:color w:val="000000"/>
        </w:rPr>
      </w:pPr>
      <w:bookmarkStart w:id="1064" w:name="_Toc160536813"/>
      <w:r w:rsidRPr="007078D3">
        <w:rPr>
          <w:color w:val="000000"/>
        </w:rPr>
        <w:t>Skróty użyte w tabeli: Kat. – kategoria właściwości,  </w:t>
      </w:r>
      <w:r w:rsidRPr="007078D3">
        <w:rPr>
          <w:rStyle w:val="spelle"/>
          <w:rFonts w:ascii="Times New Roman" w:hAnsi="Times New Roman" w:cs="Times New Roman"/>
          <w:color w:val="000000"/>
          <w:szCs w:val="20"/>
        </w:rPr>
        <w:t>Dekl</w:t>
      </w:r>
      <w:r w:rsidRPr="007078D3">
        <w:rPr>
          <w:color w:val="000000"/>
        </w:rPr>
        <w:t> – deklarowana, </w:t>
      </w:r>
      <w:r w:rsidRPr="007078D3">
        <w:rPr>
          <w:rStyle w:val="spelle"/>
          <w:rFonts w:ascii="Times New Roman" w:hAnsi="Times New Roman" w:cs="Times New Roman"/>
          <w:color w:val="000000"/>
          <w:szCs w:val="20"/>
        </w:rPr>
        <w:t>wsk</w:t>
      </w:r>
      <w:r w:rsidRPr="007078D3">
        <w:rPr>
          <w:color w:val="000000"/>
        </w:rPr>
        <w:t>. – wskaźnik,</w:t>
      </w:r>
      <w:r w:rsidRPr="007078D3">
        <w:rPr>
          <w:color w:val="000000"/>
        </w:rPr>
        <w:br/>
      </w:r>
      <w:r w:rsidRPr="007078D3">
        <w:rPr>
          <w:rStyle w:val="spelle"/>
          <w:rFonts w:ascii="Times New Roman" w:hAnsi="Times New Roman" w:cs="Times New Roman"/>
          <w:color w:val="000000"/>
          <w:szCs w:val="20"/>
        </w:rPr>
        <w:t>wsp</w:t>
      </w:r>
      <w:r w:rsidRPr="007078D3">
        <w:rPr>
          <w:color w:val="000000"/>
        </w:rPr>
        <w:t>. – współczynnik, </w:t>
      </w:r>
      <w:r w:rsidRPr="007078D3">
        <w:rPr>
          <w:rStyle w:val="spelle"/>
          <w:rFonts w:ascii="Times New Roman" w:hAnsi="Times New Roman" w:cs="Times New Roman"/>
          <w:color w:val="000000"/>
          <w:szCs w:val="20"/>
        </w:rPr>
        <w:t>roz</w:t>
      </w:r>
      <w:r w:rsidRPr="007078D3">
        <w:rPr>
          <w:color w:val="000000"/>
        </w:rPr>
        <w:t>. -rozdział</w:t>
      </w:r>
      <w:bookmarkEnd w:id="1064"/>
    </w:p>
    <w:tbl>
      <w:tblPr>
        <w:tblW w:w="9212" w:type="dxa"/>
        <w:shd w:val="clear" w:color="auto" w:fill="EAEAEA"/>
        <w:tblCellMar>
          <w:left w:w="0" w:type="dxa"/>
          <w:right w:w="0" w:type="dxa"/>
        </w:tblCellMar>
        <w:tblLook w:val="04A0"/>
      </w:tblPr>
      <w:tblGrid>
        <w:gridCol w:w="3085"/>
        <w:gridCol w:w="1134"/>
        <w:gridCol w:w="709"/>
        <w:gridCol w:w="4284"/>
      </w:tblGrid>
      <w:tr w:rsidR="0034055A" w:rsidRPr="007078D3" w:rsidTr="0034055A">
        <w:tc>
          <w:tcPr>
            <w:tcW w:w="3085" w:type="dxa"/>
            <w:vMerge w:val="restart"/>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
                <w:bCs/>
                <w:sz w:val="18"/>
                <w:szCs w:val="18"/>
              </w:rPr>
            </w:pPr>
            <w:bookmarkStart w:id="1065" w:name="_Toc160536814"/>
            <w:r w:rsidRPr="00EF535A">
              <w:rPr>
                <w:b/>
                <w:bCs/>
                <w:sz w:val="18"/>
                <w:szCs w:val="18"/>
              </w:rPr>
              <w:t>Właściwość</w:t>
            </w:r>
            <w:bookmarkEnd w:id="1065"/>
          </w:p>
          <w:p w:rsidR="0034055A" w:rsidRPr="00EF535A" w:rsidRDefault="0034055A" w:rsidP="00196DDD">
            <w:pPr>
              <w:rPr>
                <w:b/>
                <w:bCs/>
                <w:sz w:val="18"/>
                <w:szCs w:val="18"/>
              </w:rPr>
            </w:pPr>
            <w:bookmarkStart w:id="1066" w:name="_Toc160536815"/>
            <w:r w:rsidRPr="00EF535A">
              <w:rPr>
                <w:b/>
                <w:bCs/>
                <w:sz w:val="18"/>
                <w:szCs w:val="18"/>
              </w:rPr>
              <w:t>kruszywa</w:t>
            </w:r>
            <w:bookmarkEnd w:id="1066"/>
          </w:p>
        </w:tc>
        <w:tc>
          <w:tcPr>
            <w:tcW w:w="1134" w:type="dxa"/>
            <w:vMerge w:val="restart"/>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
                <w:bCs/>
                <w:sz w:val="18"/>
                <w:szCs w:val="18"/>
              </w:rPr>
            </w:pPr>
            <w:bookmarkStart w:id="1067" w:name="_Toc160536816"/>
            <w:r w:rsidRPr="00EF535A">
              <w:rPr>
                <w:b/>
                <w:bCs/>
                <w:sz w:val="18"/>
                <w:szCs w:val="18"/>
              </w:rPr>
              <w:t>Metoda</w:t>
            </w:r>
            <w:bookmarkEnd w:id="1067"/>
          </w:p>
          <w:p w:rsidR="0034055A" w:rsidRPr="00EF535A" w:rsidRDefault="0034055A" w:rsidP="00196DDD">
            <w:pPr>
              <w:rPr>
                <w:b/>
                <w:bCs/>
                <w:sz w:val="18"/>
                <w:szCs w:val="18"/>
              </w:rPr>
            </w:pPr>
            <w:bookmarkStart w:id="1068" w:name="_Toc160536817"/>
            <w:r w:rsidRPr="00EF535A">
              <w:rPr>
                <w:b/>
                <w:bCs/>
                <w:sz w:val="18"/>
                <w:szCs w:val="18"/>
              </w:rPr>
              <w:t>badania</w:t>
            </w:r>
            <w:bookmarkEnd w:id="1068"/>
          </w:p>
          <w:p w:rsidR="0034055A" w:rsidRPr="00EF535A" w:rsidRDefault="0034055A" w:rsidP="00196DDD">
            <w:pPr>
              <w:rPr>
                <w:b/>
                <w:bCs/>
                <w:sz w:val="18"/>
                <w:szCs w:val="18"/>
              </w:rPr>
            </w:pPr>
            <w:bookmarkStart w:id="1069" w:name="_Toc160536818"/>
            <w:r w:rsidRPr="00EF535A">
              <w:rPr>
                <w:b/>
                <w:bCs/>
                <w:sz w:val="18"/>
                <w:szCs w:val="18"/>
              </w:rPr>
              <w:t>wg</w:t>
            </w:r>
            <w:bookmarkEnd w:id="1069"/>
          </w:p>
        </w:tc>
        <w:tc>
          <w:tcPr>
            <w:tcW w:w="4993" w:type="dxa"/>
            <w:gridSpan w:val="2"/>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70" w:name="_Toc160536819"/>
            <w:r w:rsidRPr="00EF535A">
              <w:rPr>
                <w:b/>
                <w:bCs/>
                <w:sz w:val="18"/>
                <w:szCs w:val="18"/>
              </w:rPr>
              <w:t>Wymagania wobec kruszywa do mieszanek niezwiązanych, przeznaczonych do zastosowania w warstwie podbudowy zasadniczej pod nawierzchnią drogi obciążonej ruchem  kategorii KR1 ÷ KR7</w:t>
            </w:r>
            <w:bookmarkEnd w:id="1070"/>
          </w:p>
        </w:tc>
      </w:tr>
      <w:tr w:rsidR="0034055A" w:rsidRPr="007078D3" w:rsidTr="0034055A">
        <w:trPr>
          <w:trHeight w:val="476"/>
        </w:trPr>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bCs/>
                <w:sz w:val="18"/>
                <w:szCs w:val="18"/>
              </w:rPr>
            </w:pP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EF535A" w:rsidRDefault="0034055A" w:rsidP="00196DDD">
            <w:pPr>
              <w:rPr>
                <w:bCs/>
                <w:sz w:val="18"/>
                <w:szCs w:val="18"/>
              </w:rPr>
            </w:pPr>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sz w:val="18"/>
                <w:szCs w:val="18"/>
              </w:rPr>
            </w:pPr>
            <w:bookmarkStart w:id="1071" w:name="_Toc160536820"/>
            <w:r w:rsidRPr="00EF535A">
              <w:rPr>
                <w:bCs/>
                <w:sz w:val="18"/>
                <w:szCs w:val="18"/>
              </w:rPr>
              <w:t>Punkt</w:t>
            </w:r>
            <w:bookmarkEnd w:id="1071"/>
          </w:p>
          <w:p w:rsidR="0034055A" w:rsidRPr="00EF535A" w:rsidRDefault="0034055A" w:rsidP="00196DDD">
            <w:pPr>
              <w:rPr>
                <w:bCs/>
                <w:sz w:val="18"/>
                <w:szCs w:val="18"/>
              </w:rPr>
            </w:pPr>
            <w:bookmarkStart w:id="1072" w:name="_Toc160536821"/>
            <w:r w:rsidRPr="00EF535A">
              <w:rPr>
                <w:bCs/>
                <w:sz w:val="18"/>
                <w:szCs w:val="18"/>
              </w:rPr>
              <w:t>PN-EN</w:t>
            </w:r>
            <w:bookmarkEnd w:id="1072"/>
          </w:p>
          <w:p w:rsidR="0034055A" w:rsidRPr="00EF535A" w:rsidRDefault="0034055A" w:rsidP="00196DDD">
            <w:pPr>
              <w:rPr>
                <w:bCs/>
                <w:sz w:val="18"/>
                <w:szCs w:val="18"/>
              </w:rPr>
            </w:pPr>
            <w:bookmarkStart w:id="1073" w:name="_Toc160536822"/>
            <w:r w:rsidRPr="00EF535A">
              <w:rPr>
                <w:bCs/>
                <w:sz w:val="18"/>
                <w:szCs w:val="18"/>
              </w:rPr>
              <w:t>13242</w:t>
            </w:r>
            <w:bookmarkEnd w:id="1073"/>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sz w:val="18"/>
                <w:szCs w:val="18"/>
              </w:rPr>
            </w:pPr>
            <w:bookmarkStart w:id="1074" w:name="_Toc160536823"/>
            <w:r w:rsidRPr="00EF535A">
              <w:rPr>
                <w:bCs/>
                <w:sz w:val="18"/>
                <w:szCs w:val="18"/>
              </w:rPr>
              <w:t>Wymagania</w:t>
            </w:r>
            <w:bookmarkEnd w:id="1074"/>
          </w:p>
          <w:p w:rsidR="0034055A" w:rsidRPr="00EF535A" w:rsidRDefault="0034055A" w:rsidP="00196DDD">
            <w:pPr>
              <w:rPr>
                <w:bCs/>
                <w:sz w:val="18"/>
                <w:szCs w:val="18"/>
              </w:rPr>
            </w:pPr>
            <w:r w:rsidRPr="00EF535A">
              <w:rPr>
                <w:bCs/>
                <w:sz w:val="18"/>
                <w:szCs w:val="18"/>
              </w:rPr>
              <w:t> </w:t>
            </w:r>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75" w:name="_Toc160536824"/>
            <w:r w:rsidRPr="00EF535A">
              <w:rPr>
                <w:b/>
                <w:bCs/>
                <w:sz w:val="18"/>
                <w:szCs w:val="18"/>
              </w:rPr>
              <w:t>Zestaw sit #</w:t>
            </w:r>
            <w:bookmarkEnd w:id="1075"/>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76" w:name="_Toc160536825"/>
            <w:r w:rsidRPr="00EF535A">
              <w:rPr>
                <w:b/>
                <w:bCs/>
                <w:sz w:val="18"/>
                <w:szCs w:val="18"/>
              </w:rPr>
              <w:t>-</w:t>
            </w:r>
            <w:bookmarkEnd w:id="1076"/>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77" w:name="_Toc160536826"/>
            <w:r w:rsidRPr="00EF535A">
              <w:rPr>
                <w:b/>
                <w:bCs/>
                <w:sz w:val="18"/>
                <w:szCs w:val="18"/>
              </w:rPr>
              <w:t>4.1-4.2</w:t>
            </w:r>
            <w:bookmarkEnd w:id="1077"/>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78" w:name="_Toc160536827"/>
            <w:r w:rsidRPr="00EF535A">
              <w:rPr>
                <w:b/>
                <w:bCs/>
                <w:sz w:val="18"/>
                <w:szCs w:val="18"/>
              </w:rPr>
              <w:t>0,063; 0,5; 1; 2; 4; 5,6; 8; 11,2; 16; 22,4; 31,5; 45; 63 i 90 mm (zestaw podstawowy plus zestaw 1)</w:t>
            </w:r>
            <w:bookmarkEnd w:id="1078"/>
          </w:p>
          <w:p w:rsidR="0034055A" w:rsidRPr="00EF535A" w:rsidRDefault="0034055A" w:rsidP="00196DDD">
            <w:pPr>
              <w:rPr>
                <w:b/>
                <w:bCs/>
                <w:sz w:val="18"/>
                <w:szCs w:val="18"/>
              </w:rPr>
            </w:pPr>
            <w:r w:rsidRPr="00EF535A">
              <w:rPr>
                <w:b/>
                <w:bCs/>
                <w:sz w:val="18"/>
                <w:szCs w:val="18"/>
              </w:rPr>
              <w:t> </w:t>
            </w:r>
            <w:bookmarkStart w:id="1079" w:name="_Toc160536828"/>
            <w:r w:rsidRPr="00EF535A">
              <w:rPr>
                <w:b/>
                <w:bCs/>
                <w:sz w:val="18"/>
                <w:szCs w:val="18"/>
              </w:rPr>
              <w:t>Wszystkie frakcje dozwolone</w:t>
            </w:r>
            <w:bookmarkEnd w:id="1079"/>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80" w:name="_Toc160536829"/>
            <w:r w:rsidRPr="00EF535A">
              <w:rPr>
                <w:b/>
                <w:bCs/>
                <w:sz w:val="18"/>
                <w:szCs w:val="18"/>
              </w:rPr>
              <w:t>Uziarnienie</w:t>
            </w:r>
            <w:bookmarkEnd w:id="1080"/>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81" w:name="_Toc160536830"/>
            <w:r w:rsidRPr="00EF535A">
              <w:rPr>
                <w:b/>
                <w:bCs/>
                <w:sz w:val="18"/>
                <w:szCs w:val="18"/>
              </w:rPr>
              <w:t>PN-EN</w:t>
            </w:r>
            <w:bookmarkEnd w:id="1081"/>
          </w:p>
          <w:p w:rsidR="0034055A" w:rsidRPr="00EF535A" w:rsidRDefault="0034055A" w:rsidP="00196DDD">
            <w:pPr>
              <w:rPr>
                <w:b/>
                <w:bCs/>
                <w:sz w:val="18"/>
                <w:szCs w:val="18"/>
              </w:rPr>
            </w:pPr>
            <w:bookmarkStart w:id="1082" w:name="_Toc160536831"/>
            <w:r w:rsidRPr="00EF535A">
              <w:rPr>
                <w:b/>
                <w:bCs/>
                <w:sz w:val="18"/>
                <w:szCs w:val="18"/>
              </w:rPr>
              <w:t>933-1[5]</w:t>
            </w:r>
            <w:bookmarkEnd w:id="1082"/>
          </w:p>
          <w:p w:rsidR="0034055A" w:rsidRPr="00EF535A" w:rsidRDefault="0034055A" w:rsidP="00196DDD">
            <w:pPr>
              <w:rPr>
                <w:b/>
                <w:bCs/>
                <w:sz w:val="18"/>
                <w:szCs w:val="18"/>
              </w:rPr>
            </w:pPr>
            <w:r w:rsidRPr="00EF535A">
              <w:rPr>
                <w:b/>
                <w:bCs/>
                <w:sz w:val="18"/>
                <w:szCs w:val="18"/>
              </w:rPr>
              <w:t> </w:t>
            </w:r>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83" w:name="_Toc160536832"/>
            <w:r w:rsidRPr="00EF535A">
              <w:rPr>
                <w:b/>
                <w:bCs/>
                <w:sz w:val="18"/>
                <w:szCs w:val="18"/>
              </w:rPr>
              <w:t>4.3.1</w:t>
            </w:r>
            <w:bookmarkEnd w:id="1083"/>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84" w:name="_Toc160536833"/>
            <w:r w:rsidRPr="00EF535A">
              <w:rPr>
                <w:b/>
                <w:bCs/>
                <w:sz w:val="18"/>
                <w:szCs w:val="18"/>
              </w:rPr>
              <w:t>Kruszywo grube: kat. G</w:t>
            </w:r>
            <w:r w:rsidRPr="00EF535A">
              <w:rPr>
                <w:b/>
                <w:bCs/>
                <w:sz w:val="18"/>
                <w:szCs w:val="18"/>
                <w:vertAlign w:val="subscript"/>
              </w:rPr>
              <w:t>C</w:t>
            </w:r>
            <w:r w:rsidRPr="00EF535A">
              <w:rPr>
                <w:b/>
                <w:bCs/>
                <w:sz w:val="18"/>
                <w:szCs w:val="18"/>
              </w:rPr>
              <w:t>80/20,   kruszywo drobne: kat. G</w:t>
            </w:r>
            <w:r w:rsidRPr="00EF535A">
              <w:rPr>
                <w:b/>
                <w:bCs/>
                <w:sz w:val="18"/>
                <w:szCs w:val="18"/>
                <w:vertAlign w:val="subscript"/>
              </w:rPr>
              <w:t>F</w:t>
            </w:r>
            <w:r w:rsidRPr="00EF535A">
              <w:rPr>
                <w:b/>
                <w:bCs/>
                <w:sz w:val="18"/>
                <w:szCs w:val="18"/>
              </w:rPr>
              <w:t>80,   kruszywo o ciągłym uziarnieniu: kat. G</w:t>
            </w:r>
            <w:r w:rsidRPr="00EF535A">
              <w:rPr>
                <w:b/>
                <w:bCs/>
                <w:sz w:val="18"/>
                <w:szCs w:val="18"/>
                <w:vertAlign w:val="subscript"/>
              </w:rPr>
              <w:t>A</w:t>
            </w:r>
            <w:r w:rsidRPr="00EF535A">
              <w:rPr>
                <w:b/>
                <w:bCs/>
                <w:sz w:val="18"/>
                <w:szCs w:val="18"/>
              </w:rPr>
              <w:t>75.</w:t>
            </w:r>
            <w:bookmarkEnd w:id="1084"/>
            <w:r w:rsidRPr="00EF535A">
              <w:rPr>
                <w:b/>
                <w:bCs/>
                <w:sz w:val="18"/>
                <w:szCs w:val="18"/>
              </w:rPr>
              <w:t>  </w:t>
            </w:r>
          </w:p>
          <w:p w:rsidR="0034055A" w:rsidRPr="00EF535A" w:rsidRDefault="0034055A" w:rsidP="00196DDD">
            <w:pPr>
              <w:rPr>
                <w:b/>
                <w:bCs/>
                <w:sz w:val="18"/>
                <w:szCs w:val="18"/>
              </w:rPr>
            </w:pPr>
            <w:bookmarkStart w:id="1085" w:name="_Toc160536834"/>
            <w:r w:rsidRPr="00EF535A">
              <w:rPr>
                <w:b/>
                <w:bCs/>
                <w:sz w:val="18"/>
                <w:szCs w:val="18"/>
              </w:rPr>
              <w:t>Uziarnienie mieszanek kruszywa wg rysunków 1÷3</w:t>
            </w:r>
            <w:bookmarkEnd w:id="1085"/>
          </w:p>
        </w:tc>
      </w:tr>
      <w:tr w:rsidR="0034055A" w:rsidRPr="007078D3" w:rsidTr="0034055A">
        <w:trPr>
          <w:trHeight w:val="433"/>
        </w:trPr>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86" w:name="_Toc160536835"/>
            <w:r w:rsidRPr="00EF535A">
              <w:rPr>
                <w:b/>
                <w:bCs/>
                <w:sz w:val="18"/>
                <w:szCs w:val="18"/>
              </w:rPr>
              <w:t>Ogólne granice i tolerancje uziarnienia kruszywa grubego na sitach pośrednich</w:t>
            </w:r>
            <w:bookmarkEnd w:id="1086"/>
          </w:p>
          <w:p w:rsidR="0034055A" w:rsidRPr="00EF535A" w:rsidRDefault="0034055A" w:rsidP="00196DDD">
            <w:pPr>
              <w:rPr>
                <w:b/>
                <w:bCs/>
                <w:sz w:val="18"/>
                <w:szCs w:val="18"/>
              </w:rPr>
            </w:pPr>
            <w:r w:rsidRPr="00EF535A">
              <w:rPr>
                <w:b/>
                <w:bCs/>
                <w:sz w:val="18"/>
                <w:szCs w:val="18"/>
              </w:rPr>
              <w:t> </w:t>
            </w:r>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87" w:name="_Toc160536836"/>
            <w:r w:rsidRPr="00EF535A">
              <w:rPr>
                <w:b/>
                <w:bCs/>
                <w:sz w:val="18"/>
                <w:szCs w:val="18"/>
              </w:rPr>
              <w:t>PN-EN</w:t>
            </w:r>
            <w:bookmarkEnd w:id="1087"/>
          </w:p>
          <w:p w:rsidR="0034055A" w:rsidRPr="00EF535A" w:rsidRDefault="0034055A" w:rsidP="00196DDD">
            <w:pPr>
              <w:rPr>
                <w:b/>
                <w:bCs/>
                <w:sz w:val="18"/>
                <w:szCs w:val="18"/>
              </w:rPr>
            </w:pPr>
            <w:bookmarkStart w:id="1088" w:name="_Toc160536837"/>
            <w:r w:rsidRPr="00EF535A">
              <w:rPr>
                <w:b/>
                <w:bCs/>
                <w:sz w:val="18"/>
                <w:szCs w:val="18"/>
              </w:rPr>
              <w:t>933-1 [5]</w:t>
            </w:r>
            <w:bookmarkEnd w:id="1088"/>
          </w:p>
          <w:p w:rsidR="0034055A" w:rsidRPr="00EF535A" w:rsidRDefault="0034055A" w:rsidP="00196DDD">
            <w:pPr>
              <w:rPr>
                <w:b/>
                <w:bCs/>
                <w:sz w:val="18"/>
                <w:szCs w:val="18"/>
              </w:rPr>
            </w:pPr>
            <w:r w:rsidRPr="00EF535A">
              <w:rPr>
                <w:b/>
                <w:bCs/>
                <w:sz w:val="18"/>
                <w:szCs w:val="18"/>
              </w:rPr>
              <w:t> </w:t>
            </w:r>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89" w:name="_Toc160536838"/>
            <w:r w:rsidRPr="00EF535A">
              <w:rPr>
                <w:b/>
                <w:bCs/>
                <w:sz w:val="18"/>
                <w:szCs w:val="18"/>
              </w:rPr>
              <w:t>4.3.2</w:t>
            </w:r>
            <w:bookmarkEnd w:id="1089"/>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90" w:name="_Toc160536839"/>
            <w:r w:rsidRPr="00EF535A">
              <w:rPr>
                <w:b/>
                <w:bCs/>
                <w:sz w:val="18"/>
                <w:szCs w:val="18"/>
              </w:rPr>
              <w:t>Kat. GT</w:t>
            </w:r>
            <w:r w:rsidRPr="00EF535A">
              <w:rPr>
                <w:b/>
                <w:bCs/>
                <w:sz w:val="18"/>
                <w:szCs w:val="18"/>
                <w:vertAlign w:val="subscript"/>
              </w:rPr>
              <w:t>C</w:t>
            </w:r>
            <w:r w:rsidRPr="00EF535A">
              <w:rPr>
                <w:b/>
                <w:bCs/>
                <w:sz w:val="18"/>
                <w:szCs w:val="18"/>
              </w:rPr>
              <w:t>20/15 (tj. dla stosunku D/d ≥2 i sita o pośrednich wymiarach D/1,4 ogólne granice wynoszą 20-70% przechodzącej masy i graniczne odchylenia od typowego uziarnienia deklarowanego przez producenta wynoszą ±15%)</w:t>
            </w:r>
            <w:bookmarkEnd w:id="1090"/>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91" w:name="_Toc160536840"/>
            <w:r w:rsidRPr="00EF535A">
              <w:rPr>
                <w:b/>
                <w:bCs/>
                <w:sz w:val="18"/>
                <w:szCs w:val="18"/>
              </w:rPr>
              <w:t>Tolerancje typowego uziarnienia </w:t>
            </w:r>
            <w:r w:rsidRPr="00EF535A">
              <w:rPr>
                <w:rStyle w:val="spelle"/>
                <w:rFonts w:ascii="Times New Roman" w:hAnsi="Times New Roman" w:cs="Times New Roman"/>
                <w:b/>
                <w:bCs/>
                <w:sz w:val="18"/>
                <w:szCs w:val="18"/>
              </w:rPr>
              <w:t>kru</w:t>
            </w:r>
            <w:r w:rsidRPr="00EF535A">
              <w:rPr>
                <w:b/>
                <w:bCs/>
                <w:sz w:val="18"/>
                <w:szCs w:val="18"/>
              </w:rPr>
              <w:t>-</w:t>
            </w:r>
            <w:r w:rsidRPr="00EF535A">
              <w:rPr>
                <w:b/>
                <w:bCs/>
                <w:sz w:val="18"/>
                <w:szCs w:val="18"/>
              </w:rPr>
              <w:br/>
            </w:r>
            <w:r w:rsidRPr="00EF535A">
              <w:rPr>
                <w:rStyle w:val="spelle"/>
                <w:rFonts w:ascii="Times New Roman" w:hAnsi="Times New Roman" w:cs="Times New Roman"/>
                <w:b/>
                <w:bCs/>
                <w:sz w:val="18"/>
                <w:szCs w:val="18"/>
              </w:rPr>
              <w:t>szywa</w:t>
            </w:r>
            <w:r w:rsidRPr="00EF535A">
              <w:rPr>
                <w:b/>
                <w:bCs/>
                <w:sz w:val="18"/>
                <w:szCs w:val="18"/>
              </w:rPr>
              <w:t> drobnego i kruszywa o ciągłym uziarnieniu</w:t>
            </w:r>
            <w:bookmarkEnd w:id="1091"/>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92" w:name="_Toc160536841"/>
            <w:r w:rsidRPr="00EF535A">
              <w:rPr>
                <w:b/>
                <w:bCs/>
                <w:sz w:val="18"/>
                <w:szCs w:val="18"/>
              </w:rPr>
              <w:t>PN-EN</w:t>
            </w:r>
            <w:bookmarkEnd w:id="1092"/>
          </w:p>
          <w:p w:rsidR="0034055A" w:rsidRPr="00EF535A" w:rsidRDefault="0034055A" w:rsidP="00196DDD">
            <w:pPr>
              <w:rPr>
                <w:b/>
                <w:bCs/>
                <w:sz w:val="18"/>
                <w:szCs w:val="18"/>
              </w:rPr>
            </w:pPr>
            <w:bookmarkStart w:id="1093" w:name="_Toc160536842"/>
            <w:r w:rsidRPr="00EF535A">
              <w:rPr>
                <w:b/>
                <w:bCs/>
                <w:sz w:val="18"/>
                <w:szCs w:val="18"/>
              </w:rPr>
              <w:t>933-1 [5]</w:t>
            </w:r>
            <w:bookmarkEnd w:id="1093"/>
          </w:p>
          <w:p w:rsidR="0034055A" w:rsidRPr="00EF535A" w:rsidRDefault="0034055A" w:rsidP="00196DDD">
            <w:pPr>
              <w:rPr>
                <w:b/>
                <w:bCs/>
                <w:sz w:val="18"/>
                <w:szCs w:val="18"/>
              </w:rPr>
            </w:pPr>
            <w:r w:rsidRPr="00EF535A">
              <w:rPr>
                <w:b/>
                <w:bCs/>
                <w:sz w:val="18"/>
                <w:szCs w:val="18"/>
              </w:rPr>
              <w:t> </w:t>
            </w:r>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94" w:name="_Toc160536843"/>
            <w:r w:rsidRPr="00EF535A">
              <w:rPr>
                <w:b/>
                <w:bCs/>
                <w:sz w:val="18"/>
                <w:szCs w:val="18"/>
              </w:rPr>
              <w:t>4.3.3</w:t>
            </w:r>
            <w:bookmarkEnd w:id="1094"/>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95" w:name="_Toc160536844"/>
            <w:r w:rsidRPr="00EF535A">
              <w:rPr>
                <w:b/>
                <w:bCs/>
                <w:sz w:val="18"/>
                <w:szCs w:val="18"/>
              </w:rPr>
              <w:t>Kruszywo drobne: kat. GT</w:t>
            </w:r>
            <w:r w:rsidRPr="00EF535A">
              <w:rPr>
                <w:b/>
                <w:bCs/>
                <w:sz w:val="18"/>
                <w:szCs w:val="18"/>
                <w:vertAlign w:val="subscript"/>
              </w:rPr>
              <w:t>F</w:t>
            </w:r>
            <w:r w:rsidRPr="00EF535A">
              <w:rPr>
                <w:b/>
                <w:bCs/>
                <w:sz w:val="18"/>
                <w:szCs w:val="18"/>
              </w:rPr>
              <w:t>10 (tj. procent masy przechodzącej przez sito górne D: ±5%, sito D/2: ±10%, sito 0,063 mm: ±3%).Kruszywo o ciągłym uziarnieniu: kat. GT</w:t>
            </w:r>
            <w:r w:rsidRPr="00EF535A">
              <w:rPr>
                <w:b/>
                <w:bCs/>
                <w:sz w:val="18"/>
                <w:szCs w:val="18"/>
                <w:vertAlign w:val="subscript"/>
              </w:rPr>
              <w:t>A</w:t>
            </w:r>
            <w:r w:rsidRPr="00EF535A">
              <w:rPr>
                <w:b/>
                <w:bCs/>
                <w:sz w:val="18"/>
                <w:szCs w:val="18"/>
              </w:rPr>
              <w:t>20 (tj. procent masy przechodzącej przez sito górne D: ±5%, sito D/2: ±20%, sito 0,063 mm: ±4%)</w:t>
            </w:r>
            <w:bookmarkEnd w:id="1095"/>
          </w:p>
        </w:tc>
      </w:tr>
      <w:tr w:rsidR="0034055A" w:rsidRPr="007078D3" w:rsidTr="0034055A">
        <w:trPr>
          <w:trHeight w:val="671"/>
        </w:trPr>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96" w:name="_Toc160536845"/>
            <w:r w:rsidRPr="00EF535A">
              <w:rPr>
                <w:b/>
                <w:bCs/>
                <w:sz w:val="18"/>
                <w:szCs w:val="18"/>
              </w:rPr>
              <w:t>Kształt kruszywa grubego – maksymalne wartości wskaź</w:t>
            </w:r>
            <w:r w:rsidRPr="00EF535A">
              <w:rPr>
                <w:b/>
                <w:bCs/>
                <w:sz w:val="18"/>
                <w:szCs w:val="18"/>
              </w:rPr>
              <w:softHyphen/>
              <w:t>nika płaskości</w:t>
            </w:r>
            <w:bookmarkEnd w:id="1096"/>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97" w:name="_Toc160536846"/>
            <w:r w:rsidRPr="00EF535A">
              <w:rPr>
                <w:b/>
                <w:bCs/>
                <w:sz w:val="18"/>
                <w:szCs w:val="18"/>
              </w:rPr>
              <w:t>PN-EN</w:t>
            </w:r>
            <w:bookmarkEnd w:id="1097"/>
          </w:p>
          <w:p w:rsidR="0034055A" w:rsidRPr="00EF535A" w:rsidRDefault="0034055A" w:rsidP="00196DDD">
            <w:pPr>
              <w:rPr>
                <w:b/>
                <w:bCs/>
                <w:sz w:val="18"/>
                <w:szCs w:val="18"/>
              </w:rPr>
            </w:pPr>
            <w:bookmarkStart w:id="1098" w:name="_Toc160536847"/>
            <w:r w:rsidRPr="00EF535A">
              <w:rPr>
                <w:b/>
                <w:bCs/>
                <w:sz w:val="18"/>
                <w:szCs w:val="18"/>
              </w:rPr>
              <w:t>933-3  [6]</w:t>
            </w:r>
            <w:bookmarkEnd w:id="1098"/>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099" w:name="_Toc160536848"/>
            <w:r w:rsidRPr="00EF535A">
              <w:rPr>
                <w:b/>
                <w:bCs/>
                <w:sz w:val="18"/>
                <w:szCs w:val="18"/>
              </w:rPr>
              <w:t>4.4</w:t>
            </w:r>
            <w:bookmarkEnd w:id="1099"/>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00" w:name="_Toc160536849"/>
            <w:r w:rsidRPr="00EF535A">
              <w:rPr>
                <w:b/>
                <w:bCs/>
                <w:sz w:val="18"/>
                <w:szCs w:val="18"/>
              </w:rPr>
              <w:t>Kat. FI</w:t>
            </w:r>
            <w:r w:rsidRPr="00EF535A">
              <w:rPr>
                <w:b/>
                <w:bCs/>
                <w:sz w:val="18"/>
                <w:szCs w:val="18"/>
                <w:vertAlign w:val="subscript"/>
              </w:rPr>
              <w:t>50 </w:t>
            </w:r>
            <w:r w:rsidRPr="00EF535A">
              <w:rPr>
                <w:b/>
                <w:bCs/>
                <w:sz w:val="18"/>
                <w:szCs w:val="18"/>
              </w:rPr>
              <w:t>(tj. maksymalna wartość wskaźnika płaskości wynosi ≤ 50)</w:t>
            </w:r>
            <w:bookmarkEnd w:id="1100"/>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01" w:name="_Toc160536850"/>
            <w:r w:rsidRPr="00EF535A">
              <w:rPr>
                <w:b/>
                <w:bCs/>
                <w:sz w:val="18"/>
                <w:szCs w:val="18"/>
              </w:rPr>
              <w:t>Kształt kruszywa grubego – maksymalne wartości wskaźnika kształtu</w:t>
            </w:r>
            <w:bookmarkEnd w:id="1101"/>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02" w:name="_Toc160536851"/>
            <w:r w:rsidRPr="00EF535A">
              <w:rPr>
                <w:b/>
                <w:bCs/>
                <w:sz w:val="18"/>
                <w:szCs w:val="18"/>
              </w:rPr>
              <w:t>PN-EN</w:t>
            </w:r>
            <w:bookmarkEnd w:id="1102"/>
          </w:p>
          <w:p w:rsidR="0034055A" w:rsidRPr="00EF535A" w:rsidRDefault="0034055A" w:rsidP="00196DDD">
            <w:pPr>
              <w:rPr>
                <w:b/>
                <w:bCs/>
                <w:sz w:val="18"/>
                <w:szCs w:val="18"/>
              </w:rPr>
            </w:pPr>
            <w:bookmarkStart w:id="1103" w:name="_Toc160536852"/>
            <w:r w:rsidRPr="00EF535A">
              <w:rPr>
                <w:b/>
                <w:bCs/>
                <w:sz w:val="18"/>
                <w:szCs w:val="18"/>
              </w:rPr>
              <w:t>933-4  [7]</w:t>
            </w:r>
            <w:bookmarkEnd w:id="1103"/>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04" w:name="_Toc160536853"/>
            <w:r w:rsidRPr="00EF535A">
              <w:rPr>
                <w:b/>
                <w:bCs/>
                <w:sz w:val="18"/>
                <w:szCs w:val="18"/>
              </w:rPr>
              <w:t>4.4</w:t>
            </w:r>
            <w:bookmarkEnd w:id="1104"/>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05" w:name="_Toc160536854"/>
            <w:r w:rsidRPr="00EF535A">
              <w:rPr>
                <w:b/>
                <w:bCs/>
                <w:sz w:val="18"/>
                <w:szCs w:val="18"/>
              </w:rPr>
              <w:t>Kat. SI</w:t>
            </w:r>
            <w:r w:rsidRPr="00EF535A">
              <w:rPr>
                <w:b/>
                <w:bCs/>
                <w:sz w:val="18"/>
                <w:szCs w:val="18"/>
                <w:vertAlign w:val="subscript"/>
              </w:rPr>
              <w:t>55 </w:t>
            </w:r>
            <w:r w:rsidRPr="00EF535A">
              <w:rPr>
                <w:b/>
                <w:bCs/>
                <w:sz w:val="18"/>
                <w:szCs w:val="18"/>
              </w:rPr>
              <w:t>(tj. maksymalna wartość wskaźnika kształtu wynosi ≤ 55)</w:t>
            </w:r>
            <w:bookmarkEnd w:id="1105"/>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06" w:name="_Toc160536855"/>
            <w:r w:rsidRPr="00EF535A">
              <w:rPr>
                <w:b/>
                <w:bCs/>
                <w:sz w:val="18"/>
                <w:szCs w:val="18"/>
              </w:rPr>
              <w:lastRenderedPageBreak/>
              <w:t>Kategorie procentowych zawartości ziaren o powierzchni </w:t>
            </w:r>
            <w:r w:rsidRPr="00EF535A">
              <w:rPr>
                <w:rStyle w:val="spelle"/>
                <w:rFonts w:ascii="Times New Roman" w:hAnsi="Times New Roman" w:cs="Times New Roman"/>
                <w:b/>
                <w:bCs/>
                <w:sz w:val="18"/>
                <w:szCs w:val="18"/>
              </w:rPr>
              <w:t>przekruszonej</w:t>
            </w:r>
            <w:r w:rsidRPr="00EF535A">
              <w:rPr>
                <w:b/>
                <w:bCs/>
                <w:sz w:val="18"/>
                <w:szCs w:val="18"/>
              </w:rPr>
              <w:t> lub łamanych oraz ziaren całkowicie za</w:t>
            </w:r>
            <w:r w:rsidRPr="00EF535A">
              <w:rPr>
                <w:b/>
                <w:bCs/>
                <w:sz w:val="18"/>
                <w:szCs w:val="18"/>
              </w:rPr>
              <w:softHyphen/>
              <w:t>okrąglonych w kruszywie grubym</w:t>
            </w:r>
            <w:bookmarkEnd w:id="1106"/>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07" w:name="_Toc160536856"/>
            <w:r w:rsidRPr="00EF535A">
              <w:rPr>
                <w:b/>
                <w:bCs/>
                <w:sz w:val="18"/>
                <w:szCs w:val="18"/>
              </w:rPr>
              <w:t>PN-EN</w:t>
            </w:r>
            <w:bookmarkEnd w:id="1107"/>
          </w:p>
          <w:p w:rsidR="0034055A" w:rsidRPr="00EF535A" w:rsidRDefault="0034055A" w:rsidP="00196DDD">
            <w:pPr>
              <w:rPr>
                <w:b/>
                <w:bCs/>
                <w:sz w:val="18"/>
                <w:szCs w:val="18"/>
              </w:rPr>
            </w:pPr>
            <w:bookmarkStart w:id="1108" w:name="_Toc160536857"/>
            <w:r w:rsidRPr="00EF535A">
              <w:rPr>
                <w:b/>
                <w:bCs/>
                <w:sz w:val="18"/>
                <w:szCs w:val="18"/>
              </w:rPr>
              <w:t>933-5 [8]</w:t>
            </w:r>
            <w:bookmarkEnd w:id="1108"/>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09" w:name="_Toc160536858"/>
            <w:r w:rsidRPr="00EF535A">
              <w:rPr>
                <w:b/>
                <w:bCs/>
                <w:sz w:val="18"/>
                <w:szCs w:val="18"/>
              </w:rPr>
              <w:t>4.5</w:t>
            </w:r>
            <w:bookmarkEnd w:id="1109"/>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10" w:name="_Toc160536859"/>
            <w:r w:rsidRPr="00EF535A">
              <w:rPr>
                <w:b/>
                <w:bCs/>
                <w:sz w:val="18"/>
                <w:szCs w:val="18"/>
              </w:rPr>
              <w:t>Kat. C</w:t>
            </w:r>
            <w:r w:rsidRPr="00EF535A">
              <w:rPr>
                <w:b/>
                <w:bCs/>
                <w:sz w:val="18"/>
                <w:szCs w:val="18"/>
                <w:vertAlign w:val="subscript"/>
              </w:rPr>
              <w:t>90/3</w:t>
            </w:r>
            <w:r w:rsidRPr="00EF535A">
              <w:rPr>
                <w:b/>
                <w:bCs/>
                <w:sz w:val="18"/>
                <w:szCs w:val="18"/>
              </w:rPr>
              <w:t> (tj. masa ziarn </w:t>
            </w:r>
            <w:r w:rsidRPr="00EF535A">
              <w:rPr>
                <w:rStyle w:val="spelle"/>
                <w:rFonts w:ascii="Times New Roman" w:hAnsi="Times New Roman" w:cs="Times New Roman"/>
                <w:b/>
                <w:bCs/>
                <w:sz w:val="18"/>
                <w:szCs w:val="18"/>
              </w:rPr>
              <w:t>przekruszonych</w:t>
            </w:r>
            <w:r w:rsidRPr="00EF535A">
              <w:rPr>
                <w:b/>
                <w:bCs/>
                <w:sz w:val="18"/>
                <w:szCs w:val="18"/>
              </w:rPr>
              <w:t> lub łamanych wynosi 90 do 100 %, a masa ziarn całkowicie zaokrąglonych wynosi 0 do 3 %)</w:t>
            </w:r>
            <w:bookmarkEnd w:id="1110"/>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11" w:name="_Toc160536860"/>
            <w:r w:rsidRPr="00EF535A">
              <w:rPr>
                <w:b/>
                <w:bCs/>
                <w:sz w:val="18"/>
                <w:szCs w:val="18"/>
              </w:rPr>
              <w:t>Zawartość pyłów w kruszywie grubym</w:t>
            </w:r>
            <w:r w:rsidRPr="00EF535A">
              <w:rPr>
                <w:b/>
                <w:bCs/>
                <w:sz w:val="18"/>
                <w:szCs w:val="18"/>
                <w:vertAlign w:val="superscript"/>
              </w:rPr>
              <w:t>*)</w:t>
            </w:r>
            <w:bookmarkEnd w:id="1111"/>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12" w:name="_Toc160536861"/>
            <w:r w:rsidRPr="00EF535A">
              <w:rPr>
                <w:b/>
                <w:bCs/>
                <w:sz w:val="18"/>
                <w:szCs w:val="18"/>
              </w:rPr>
              <w:t>PN-EN</w:t>
            </w:r>
            <w:bookmarkEnd w:id="1112"/>
          </w:p>
          <w:p w:rsidR="0034055A" w:rsidRPr="00EF535A" w:rsidRDefault="0034055A" w:rsidP="00196DDD">
            <w:pPr>
              <w:rPr>
                <w:b/>
                <w:bCs/>
                <w:sz w:val="18"/>
                <w:szCs w:val="18"/>
              </w:rPr>
            </w:pPr>
            <w:bookmarkStart w:id="1113" w:name="_Toc160536862"/>
            <w:r w:rsidRPr="00EF535A">
              <w:rPr>
                <w:b/>
                <w:bCs/>
                <w:sz w:val="18"/>
                <w:szCs w:val="18"/>
              </w:rPr>
              <w:t>933-1 [5]</w:t>
            </w:r>
            <w:bookmarkEnd w:id="1113"/>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14" w:name="_Toc160536863"/>
            <w:r w:rsidRPr="00EF535A">
              <w:rPr>
                <w:b/>
                <w:bCs/>
                <w:sz w:val="18"/>
                <w:szCs w:val="18"/>
              </w:rPr>
              <w:t>4.6</w:t>
            </w:r>
            <w:bookmarkEnd w:id="1114"/>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15" w:name="_Toc160536864"/>
            <w:r w:rsidRPr="00EF535A">
              <w:rPr>
                <w:b/>
                <w:bCs/>
                <w:sz w:val="18"/>
                <w:szCs w:val="18"/>
              </w:rPr>
              <w:t>Kat. </w:t>
            </w:r>
            <w:r w:rsidRPr="00EF535A">
              <w:rPr>
                <w:rStyle w:val="spelle"/>
                <w:rFonts w:ascii="Times New Roman" w:hAnsi="Times New Roman" w:cs="Times New Roman"/>
                <w:b/>
                <w:bCs/>
                <w:sz w:val="18"/>
                <w:szCs w:val="18"/>
              </w:rPr>
              <w:t>f</w:t>
            </w:r>
            <w:r w:rsidRPr="00EF535A">
              <w:rPr>
                <w:rStyle w:val="spelle"/>
                <w:rFonts w:ascii="Times New Roman" w:hAnsi="Times New Roman" w:cs="Times New Roman"/>
                <w:b/>
                <w:bCs/>
                <w:sz w:val="18"/>
                <w:szCs w:val="18"/>
                <w:vertAlign w:val="subscript"/>
              </w:rPr>
              <w:t>Dekl</w:t>
            </w:r>
            <w:r w:rsidRPr="00EF535A">
              <w:rPr>
                <w:b/>
                <w:bCs/>
                <w:sz w:val="18"/>
                <w:szCs w:val="18"/>
              </w:rPr>
              <w:t>  (tj. masa frakcji przechodzącej przez sito 0,063 mm jest &gt; 4)</w:t>
            </w:r>
            <w:bookmarkEnd w:id="1115"/>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16" w:name="_Toc160536865"/>
            <w:r w:rsidRPr="00EF535A">
              <w:rPr>
                <w:b/>
                <w:bCs/>
                <w:sz w:val="18"/>
                <w:szCs w:val="18"/>
              </w:rPr>
              <w:t>Zawartość pyłów</w:t>
            </w:r>
            <w:r w:rsidRPr="00EF535A">
              <w:rPr>
                <w:b/>
                <w:bCs/>
                <w:sz w:val="18"/>
                <w:szCs w:val="18"/>
                <w:vertAlign w:val="superscript"/>
              </w:rPr>
              <w:t>  </w:t>
            </w:r>
            <w:r w:rsidRPr="00EF535A">
              <w:rPr>
                <w:b/>
                <w:bCs/>
                <w:sz w:val="18"/>
                <w:szCs w:val="18"/>
              </w:rPr>
              <w:t> w  kruszywie drob</w:t>
            </w:r>
            <w:r w:rsidRPr="00EF535A">
              <w:rPr>
                <w:b/>
                <w:bCs/>
                <w:sz w:val="18"/>
                <w:szCs w:val="18"/>
              </w:rPr>
              <w:softHyphen/>
              <w:t>nym</w:t>
            </w:r>
            <w:r w:rsidRPr="00EF535A">
              <w:rPr>
                <w:b/>
                <w:bCs/>
                <w:sz w:val="18"/>
                <w:szCs w:val="18"/>
                <w:vertAlign w:val="superscript"/>
              </w:rPr>
              <w:t>*)</w:t>
            </w:r>
            <w:bookmarkEnd w:id="1116"/>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17" w:name="_Toc160536866"/>
            <w:r w:rsidRPr="00EF535A">
              <w:rPr>
                <w:b/>
                <w:bCs/>
                <w:sz w:val="18"/>
                <w:szCs w:val="18"/>
              </w:rPr>
              <w:t>PN-EN</w:t>
            </w:r>
            <w:bookmarkEnd w:id="1117"/>
            <w:r w:rsidRPr="00EF535A">
              <w:rPr>
                <w:b/>
                <w:bCs/>
                <w:sz w:val="18"/>
                <w:szCs w:val="18"/>
              </w:rPr>
              <w:t>  </w:t>
            </w:r>
          </w:p>
          <w:p w:rsidR="0034055A" w:rsidRPr="00EF535A" w:rsidRDefault="0034055A" w:rsidP="00196DDD">
            <w:pPr>
              <w:rPr>
                <w:b/>
                <w:bCs/>
                <w:sz w:val="18"/>
                <w:szCs w:val="18"/>
              </w:rPr>
            </w:pPr>
            <w:bookmarkStart w:id="1118" w:name="_Toc160536867"/>
            <w:r w:rsidRPr="00EF535A">
              <w:rPr>
                <w:b/>
                <w:bCs/>
                <w:sz w:val="18"/>
                <w:szCs w:val="18"/>
              </w:rPr>
              <w:t>933-1 [5]</w:t>
            </w:r>
            <w:bookmarkEnd w:id="1118"/>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19" w:name="_Toc160536868"/>
            <w:r w:rsidRPr="00EF535A">
              <w:rPr>
                <w:b/>
                <w:bCs/>
                <w:sz w:val="18"/>
                <w:szCs w:val="18"/>
              </w:rPr>
              <w:t>4.6</w:t>
            </w:r>
            <w:bookmarkEnd w:id="1119"/>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20" w:name="_Toc160536869"/>
            <w:r w:rsidRPr="00EF535A">
              <w:rPr>
                <w:b/>
                <w:bCs/>
                <w:sz w:val="18"/>
                <w:szCs w:val="18"/>
              </w:rPr>
              <w:t>Kat. </w:t>
            </w:r>
            <w:r w:rsidRPr="00EF535A">
              <w:rPr>
                <w:rStyle w:val="spelle"/>
                <w:rFonts w:ascii="Times New Roman" w:hAnsi="Times New Roman" w:cs="Times New Roman"/>
                <w:b/>
                <w:bCs/>
                <w:sz w:val="18"/>
                <w:szCs w:val="18"/>
              </w:rPr>
              <w:t>f</w:t>
            </w:r>
            <w:r w:rsidRPr="00EF535A">
              <w:rPr>
                <w:rStyle w:val="spelle"/>
                <w:rFonts w:ascii="Times New Roman" w:hAnsi="Times New Roman" w:cs="Times New Roman"/>
                <w:b/>
                <w:bCs/>
                <w:sz w:val="18"/>
                <w:szCs w:val="18"/>
                <w:vertAlign w:val="subscript"/>
              </w:rPr>
              <w:t>Dekl</w:t>
            </w:r>
            <w:r w:rsidRPr="00EF535A">
              <w:rPr>
                <w:b/>
                <w:bCs/>
                <w:sz w:val="18"/>
                <w:szCs w:val="18"/>
              </w:rPr>
              <w:t>  (tj. masa frakcji przechodzącej przez sito 0,063 mm jest &gt; 22)</w:t>
            </w:r>
            <w:bookmarkEnd w:id="1120"/>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21" w:name="_Toc160536870"/>
            <w:r w:rsidRPr="00EF535A">
              <w:rPr>
                <w:b/>
                <w:bCs/>
                <w:sz w:val="18"/>
                <w:szCs w:val="18"/>
              </w:rPr>
              <w:t>Jakość pyłów</w:t>
            </w:r>
            <w:bookmarkEnd w:id="1121"/>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22" w:name="_Toc160536871"/>
            <w:r w:rsidRPr="00EF535A">
              <w:rPr>
                <w:b/>
                <w:bCs/>
                <w:sz w:val="18"/>
                <w:szCs w:val="18"/>
              </w:rPr>
              <w:t>-</w:t>
            </w:r>
            <w:bookmarkEnd w:id="1122"/>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23" w:name="_Toc160536872"/>
            <w:r w:rsidRPr="00EF535A">
              <w:rPr>
                <w:b/>
                <w:bCs/>
                <w:sz w:val="18"/>
                <w:szCs w:val="18"/>
              </w:rPr>
              <w:t>4.7</w:t>
            </w:r>
            <w:bookmarkEnd w:id="1123"/>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24" w:name="_Toc160536873"/>
            <w:r w:rsidRPr="00EF535A">
              <w:rPr>
                <w:b/>
                <w:bCs/>
                <w:sz w:val="18"/>
                <w:szCs w:val="18"/>
              </w:rPr>
              <w:t>Właściwość niebadana na pojedynczych frakcjach, a tylko w mieszankach wg wymagań dla mieszanek</w:t>
            </w:r>
            <w:bookmarkEnd w:id="1124"/>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25" w:name="_Toc160536874"/>
            <w:r w:rsidRPr="00EF535A">
              <w:rPr>
                <w:b/>
                <w:bCs/>
                <w:sz w:val="18"/>
                <w:szCs w:val="18"/>
              </w:rPr>
              <w:t>Odporność na rozdrabnianie kruszywa grubego</w:t>
            </w:r>
            <w:bookmarkEnd w:id="1125"/>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26" w:name="_Toc160536875"/>
            <w:r w:rsidRPr="00EF535A">
              <w:rPr>
                <w:b/>
                <w:bCs/>
                <w:sz w:val="18"/>
                <w:szCs w:val="18"/>
              </w:rPr>
              <w:t>PN-EN</w:t>
            </w:r>
            <w:bookmarkEnd w:id="1126"/>
          </w:p>
          <w:p w:rsidR="0034055A" w:rsidRPr="00EF535A" w:rsidRDefault="0034055A" w:rsidP="00196DDD">
            <w:pPr>
              <w:rPr>
                <w:b/>
                <w:bCs/>
                <w:sz w:val="18"/>
                <w:szCs w:val="18"/>
              </w:rPr>
            </w:pPr>
            <w:bookmarkStart w:id="1127" w:name="_Toc160536876"/>
            <w:r w:rsidRPr="00EF535A">
              <w:rPr>
                <w:b/>
                <w:bCs/>
                <w:sz w:val="18"/>
                <w:szCs w:val="18"/>
              </w:rPr>
              <w:t>1097-2 [10]</w:t>
            </w:r>
            <w:bookmarkEnd w:id="1127"/>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28" w:name="_Toc160536877"/>
            <w:r w:rsidRPr="00EF535A">
              <w:rPr>
                <w:b/>
                <w:bCs/>
                <w:sz w:val="18"/>
                <w:szCs w:val="18"/>
              </w:rPr>
              <w:t>5.2</w:t>
            </w:r>
            <w:bookmarkEnd w:id="1128"/>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29" w:name="_Toc160536878"/>
            <w:r w:rsidRPr="00EF535A">
              <w:rPr>
                <w:b/>
                <w:bCs/>
                <w:sz w:val="18"/>
                <w:szCs w:val="18"/>
              </w:rPr>
              <w:t>Kat. LA</w:t>
            </w:r>
            <w:r w:rsidRPr="00EF535A">
              <w:rPr>
                <w:b/>
                <w:bCs/>
                <w:sz w:val="18"/>
                <w:szCs w:val="18"/>
                <w:vertAlign w:val="subscript"/>
              </w:rPr>
              <w:t>40</w:t>
            </w:r>
            <w:r w:rsidRPr="00EF535A">
              <w:rPr>
                <w:b/>
                <w:bCs/>
                <w:sz w:val="18"/>
                <w:szCs w:val="18"/>
              </w:rPr>
              <w:t> (tj. maksymalna wartość współczynnika Los Angeles ≤ 40 </w:t>
            </w:r>
            <w:r w:rsidRPr="00EF535A">
              <w:rPr>
                <w:b/>
                <w:bCs/>
                <w:sz w:val="18"/>
                <w:szCs w:val="18"/>
                <w:vertAlign w:val="superscript"/>
              </w:rPr>
              <w:t>**)</w:t>
            </w:r>
            <w:r w:rsidRPr="00EF535A">
              <w:rPr>
                <w:b/>
                <w:bCs/>
                <w:sz w:val="18"/>
                <w:szCs w:val="18"/>
              </w:rPr>
              <w:t>)</w:t>
            </w:r>
            <w:bookmarkEnd w:id="1129"/>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30" w:name="_Toc160536879"/>
            <w:r w:rsidRPr="00EF535A">
              <w:rPr>
                <w:b/>
                <w:bCs/>
                <w:sz w:val="18"/>
                <w:szCs w:val="18"/>
              </w:rPr>
              <w:t>Odporność na ścieranie kruszywa grubego</w:t>
            </w:r>
            <w:bookmarkEnd w:id="1130"/>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31" w:name="_Toc160536880"/>
            <w:r w:rsidRPr="00EF535A">
              <w:rPr>
                <w:b/>
                <w:bCs/>
                <w:sz w:val="18"/>
                <w:szCs w:val="18"/>
              </w:rPr>
              <w:t>PN-EN</w:t>
            </w:r>
            <w:bookmarkEnd w:id="1131"/>
            <w:r w:rsidRPr="00EF535A">
              <w:rPr>
                <w:b/>
                <w:bCs/>
                <w:sz w:val="18"/>
                <w:szCs w:val="18"/>
              </w:rPr>
              <w:t> </w:t>
            </w:r>
          </w:p>
          <w:p w:rsidR="0034055A" w:rsidRPr="00EF535A" w:rsidRDefault="0034055A" w:rsidP="00196DDD">
            <w:pPr>
              <w:rPr>
                <w:b/>
                <w:bCs/>
                <w:sz w:val="18"/>
                <w:szCs w:val="18"/>
              </w:rPr>
            </w:pPr>
            <w:bookmarkStart w:id="1132" w:name="_Toc160536881"/>
            <w:r w:rsidRPr="00EF535A">
              <w:rPr>
                <w:b/>
                <w:bCs/>
                <w:sz w:val="18"/>
                <w:szCs w:val="18"/>
              </w:rPr>
              <w:t>1097-1 [9]</w:t>
            </w:r>
            <w:bookmarkEnd w:id="1132"/>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33" w:name="_Toc160536882"/>
            <w:r w:rsidRPr="00EF535A">
              <w:rPr>
                <w:b/>
                <w:bCs/>
                <w:sz w:val="18"/>
                <w:szCs w:val="18"/>
              </w:rPr>
              <w:t>5.3</w:t>
            </w:r>
            <w:bookmarkEnd w:id="1133"/>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34" w:name="_Toc160536883"/>
            <w:r w:rsidRPr="00EF535A">
              <w:rPr>
                <w:b/>
                <w:bCs/>
                <w:sz w:val="18"/>
                <w:szCs w:val="18"/>
              </w:rPr>
              <w:t>Kat. </w:t>
            </w:r>
            <w:r w:rsidRPr="00EF535A">
              <w:rPr>
                <w:rStyle w:val="spelle"/>
                <w:rFonts w:ascii="Times New Roman" w:hAnsi="Times New Roman" w:cs="Times New Roman"/>
                <w:b/>
                <w:bCs/>
                <w:sz w:val="18"/>
                <w:szCs w:val="18"/>
              </w:rPr>
              <w:t>M</w:t>
            </w:r>
            <w:r w:rsidRPr="00EF535A">
              <w:rPr>
                <w:rStyle w:val="spelle"/>
                <w:rFonts w:ascii="Times New Roman" w:hAnsi="Times New Roman" w:cs="Times New Roman"/>
                <w:b/>
                <w:bCs/>
                <w:sz w:val="18"/>
                <w:szCs w:val="18"/>
                <w:vertAlign w:val="subscript"/>
              </w:rPr>
              <w:t>DE</w:t>
            </w:r>
            <w:r w:rsidRPr="00EF535A">
              <w:rPr>
                <w:rStyle w:val="spelle"/>
                <w:rFonts w:ascii="Times New Roman" w:hAnsi="Times New Roman" w:cs="Times New Roman"/>
                <w:b/>
                <w:bCs/>
                <w:sz w:val="18"/>
                <w:szCs w:val="18"/>
              </w:rPr>
              <w:t>Deklarowana</w:t>
            </w:r>
            <w:r w:rsidRPr="00EF535A">
              <w:rPr>
                <w:b/>
                <w:bCs/>
                <w:sz w:val="18"/>
                <w:szCs w:val="18"/>
              </w:rPr>
              <w:t> (tj. współczynnik mikro-</w:t>
            </w:r>
            <w:r w:rsidRPr="00EF535A">
              <w:rPr>
                <w:rStyle w:val="spelle"/>
                <w:rFonts w:ascii="Times New Roman" w:hAnsi="Times New Roman" w:cs="Times New Roman"/>
                <w:b/>
                <w:bCs/>
                <w:sz w:val="18"/>
                <w:szCs w:val="18"/>
              </w:rPr>
              <w:t>Devala</w:t>
            </w:r>
            <w:r w:rsidRPr="00EF535A">
              <w:rPr>
                <w:b/>
                <w:bCs/>
                <w:sz w:val="18"/>
                <w:szCs w:val="18"/>
              </w:rPr>
              <w:t> &gt;50))</w:t>
            </w:r>
            <w:bookmarkEnd w:id="1134"/>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35" w:name="_Toc160536884"/>
            <w:r w:rsidRPr="00EF535A">
              <w:rPr>
                <w:b/>
                <w:bCs/>
                <w:sz w:val="18"/>
                <w:szCs w:val="18"/>
              </w:rPr>
              <w:t>Gęstość ziaren</w:t>
            </w:r>
            <w:bookmarkEnd w:id="1135"/>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36" w:name="_Toc160536885"/>
            <w:r w:rsidRPr="00EF535A">
              <w:rPr>
                <w:b/>
                <w:bCs/>
                <w:sz w:val="18"/>
                <w:szCs w:val="18"/>
              </w:rPr>
              <w:t>PN-EN 1097-6, </w:t>
            </w:r>
            <w:r w:rsidRPr="00EF535A">
              <w:rPr>
                <w:rStyle w:val="spelle"/>
                <w:rFonts w:ascii="Times New Roman" w:hAnsi="Times New Roman" w:cs="Times New Roman"/>
                <w:b/>
                <w:bCs/>
                <w:sz w:val="18"/>
                <w:szCs w:val="18"/>
              </w:rPr>
              <w:t>roz</w:t>
            </w:r>
            <w:r w:rsidRPr="00EF535A">
              <w:rPr>
                <w:b/>
                <w:bCs/>
                <w:sz w:val="18"/>
                <w:szCs w:val="18"/>
              </w:rPr>
              <w:t>. 7, 8 i 9  [11]</w:t>
            </w:r>
            <w:bookmarkEnd w:id="1136"/>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37" w:name="_Toc160536886"/>
            <w:r w:rsidRPr="00EF535A">
              <w:rPr>
                <w:b/>
                <w:bCs/>
                <w:sz w:val="18"/>
                <w:szCs w:val="18"/>
              </w:rPr>
              <w:t>5.4</w:t>
            </w:r>
            <w:bookmarkEnd w:id="1137"/>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38" w:name="_Toc160536887"/>
            <w:r w:rsidRPr="00EF535A">
              <w:rPr>
                <w:b/>
                <w:bCs/>
                <w:sz w:val="18"/>
                <w:szCs w:val="18"/>
              </w:rPr>
              <w:t>Deklarowana</w:t>
            </w:r>
            <w:bookmarkEnd w:id="1138"/>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39" w:name="_Toc160536888"/>
            <w:r w:rsidRPr="00EF535A">
              <w:rPr>
                <w:b/>
                <w:bCs/>
                <w:sz w:val="18"/>
                <w:szCs w:val="18"/>
              </w:rPr>
              <w:t>Nasiąkliwość</w:t>
            </w:r>
            <w:bookmarkEnd w:id="1139"/>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40" w:name="_Toc160536889"/>
            <w:r w:rsidRPr="00EF535A">
              <w:rPr>
                <w:b/>
                <w:bCs/>
                <w:sz w:val="18"/>
                <w:szCs w:val="18"/>
              </w:rPr>
              <w:t>PN-EN 1097-6, </w:t>
            </w:r>
            <w:r w:rsidRPr="00EF535A">
              <w:rPr>
                <w:rStyle w:val="spelle"/>
                <w:rFonts w:ascii="Times New Roman" w:hAnsi="Times New Roman" w:cs="Times New Roman"/>
                <w:b/>
                <w:bCs/>
                <w:sz w:val="18"/>
                <w:szCs w:val="18"/>
              </w:rPr>
              <w:t>roz</w:t>
            </w:r>
            <w:r w:rsidRPr="00EF535A">
              <w:rPr>
                <w:b/>
                <w:bCs/>
                <w:sz w:val="18"/>
                <w:szCs w:val="18"/>
              </w:rPr>
              <w:t>. 7, 8 i 9 [11]</w:t>
            </w:r>
            <w:bookmarkEnd w:id="1140"/>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41" w:name="_Toc160536890"/>
            <w:r w:rsidRPr="00EF535A">
              <w:rPr>
                <w:b/>
                <w:bCs/>
                <w:sz w:val="18"/>
                <w:szCs w:val="18"/>
              </w:rPr>
              <w:t>5.5 i</w:t>
            </w:r>
            <w:bookmarkEnd w:id="1141"/>
          </w:p>
          <w:p w:rsidR="0034055A" w:rsidRPr="00EF535A" w:rsidRDefault="0034055A" w:rsidP="00196DDD">
            <w:pPr>
              <w:rPr>
                <w:b/>
                <w:bCs/>
                <w:sz w:val="18"/>
                <w:szCs w:val="18"/>
              </w:rPr>
            </w:pPr>
            <w:bookmarkStart w:id="1142" w:name="_Toc160536891"/>
            <w:r w:rsidRPr="00EF535A">
              <w:rPr>
                <w:b/>
                <w:bCs/>
                <w:sz w:val="18"/>
                <w:szCs w:val="18"/>
              </w:rPr>
              <w:t>7.3.2</w:t>
            </w:r>
            <w:bookmarkEnd w:id="1142"/>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43" w:name="_Toc160536892"/>
            <w:r w:rsidRPr="00EF535A">
              <w:rPr>
                <w:b/>
                <w:bCs/>
                <w:sz w:val="18"/>
                <w:szCs w:val="18"/>
              </w:rPr>
              <w:t>Kat. </w:t>
            </w:r>
            <w:r w:rsidRPr="00EF535A">
              <w:rPr>
                <w:rStyle w:val="spelle"/>
                <w:rFonts w:ascii="Times New Roman" w:hAnsi="Times New Roman" w:cs="Times New Roman"/>
                <w:b/>
                <w:bCs/>
                <w:sz w:val="18"/>
                <w:szCs w:val="18"/>
              </w:rPr>
              <w:t>W</w:t>
            </w:r>
            <w:r w:rsidRPr="00EF535A">
              <w:rPr>
                <w:rStyle w:val="spelle"/>
                <w:rFonts w:ascii="Times New Roman" w:hAnsi="Times New Roman" w:cs="Times New Roman"/>
                <w:b/>
                <w:bCs/>
                <w:sz w:val="18"/>
                <w:szCs w:val="18"/>
                <w:vertAlign w:val="subscript"/>
              </w:rPr>
              <w:t>cm</w:t>
            </w:r>
            <w:r w:rsidRPr="00EF535A">
              <w:rPr>
                <w:rStyle w:val="spelle"/>
                <w:rFonts w:ascii="Times New Roman" w:hAnsi="Times New Roman" w:cs="Times New Roman"/>
                <w:b/>
                <w:bCs/>
                <w:sz w:val="18"/>
                <w:szCs w:val="18"/>
              </w:rPr>
              <w:t>NR</w:t>
            </w:r>
            <w:r w:rsidRPr="00EF535A">
              <w:rPr>
                <w:b/>
                <w:bCs/>
                <w:sz w:val="18"/>
                <w:szCs w:val="18"/>
              </w:rPr>
              <w:t> (tj. brak wymagania)</w:t>
            </w:r>
            <w:bookmarkEnd w:id="1143"/>
          </w:p>
          <w:p w:rsidR="0034055A" w:rsidRPr="00EF535A" w:rsidRDefault="0034055A" w:rsidP="00196DDD">
            <w:pPr>
              <w:rPr>
                <w:b/>
                <w:bCs/>
                <w:sz w:val="18"/>
                <w:szCs w:val="18"/>
              </w:rPr>
            </w:pPr>
            <w:bookmarkStart w:id="1144" w:name="_Toc160536893"/>
            <w:r w:rsidRPr="00EF535A">
              <w:rPr>
                <w:b/>
                <w:bCs/>
                <w:sz w:val="18"/>
                <w:szCs w:val="18"/>
              </w:rPr>
              <w:t>kat. WA</w:t>
            </w:r>
            <w:r w:rsidRPr="00EF535A">
              <w:rPr>
                <w:b/>
                <w:bCs/>
                <w:sz w:val="18"/>
                <w:szCs w:val="18"/>
                <w:vertAlign w:val="subscript"/>
              </w:rPr>
              <w:t>24</w:t>
            </w:r>
            <w:r w:rsidRPr="00EF535A">
              <w:rPr>
                <w:b/>
                <w:bCs/>
                <w:sz w:val="18"/>
                <w:szCs w:val="18"/>
              </w:rPr>
              <w:t>2</w:t>
            </w:r>
            <w:r w:rsidRPr="00EF535A">
              <w:rPr>
                <w:b/>
                <w:bCs/>
                <w:sz w:val="18"/>
                <w:szCs w:val="18"/>
                <w:vertAlign w:val="superscript"/>
              </w:rPr>
              <w:t>***) </w:t>
            </w:r>
            <w:r w:rsidRPr="00EF535A">
              <w:rPr>
                <w:b/>
                <w:bCs/>
                <w:sz w:val="18"/>
                <w:szCs w:val="18"/>
              </w:rPr>
              <w:t> (tj. maksymalna wartość nasiąkliwości  ≤2% masy)</w:t>
            </w:r>
            <w:bookmarkEnd w:id="1144"/>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45" w:name="_Toc160536894"/>
            <w:r w:rsidRPr="00EF535A">
              <w:rPr>
                <w:b/>
                <w:bCs/>
                <w:sz w:val="18"/>
                <w:szCs w:val="18"/>
              </w:rPr>
              <w:t>Siarczany rozpuszczalne w kwasie</w:t>
            </w:r>
            <w:bookmarkEnd w:id="1145"/>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46" w:name="_Toc160536895"/>
            <w:r w:rsidRPr="00EF535A">
              <w:rPr>
                <w:b/>
                <w:bCs/>
                <w:sz w:val="18"/>
                <w:szCs w:val="18"/>
              </w:rPr>
              <w:t>PN-EN</w:t>
            </w:r>
            <w:bookmarkEnd w:id="1146"/>
          </w:p>
          <w:p w:rsidR="0034055A" w:rsidRPr="00EF535A" w:rsidRDefault="0034055A" w:rsidP="00196DDD">
            <w:pPr>
              <w:rPr>
                <w:b/>
                <w:bCs/>
                <w:sz w:val="18"/>
                <w:szCs w:val="18"/>
              </w:rPr>
            </w:pPr>
            <w:bookmarkStart w:id="1147" w:name="_Toc160536896"/>
            <w:r w:rsidRPr="00EF535A">
              <w:rPr>
                <w:b/>
                <w:bCs/>
                <w:sz w:val="18"/>
                <w:szCs w:val="18"/>
              </w:rPr>
              <w:t>1744-1[14]</w:t>
            </w:r>
            <w:bookmarkEnd w:id="1147"/>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48" w:name="_Toc160536897"/>
            <w:r w:rsidRPr="00EF535A">
              <w:rPr>
                <w:b/>
                <w:bCs/>
                <w:sz w:val="18"/>
                <w:szCs w:val="18"/>
              </w:rPr>
              <w:t>6.2</w:t>
            </w:r>
            <w:bookmarkEnd w:id="1148"/>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49" w:name="_Toc160536898"/>
            <w:r w:rsidRPr="00EF535A">
              <w:rPr>
                <w:b/>
                <w:bCs/>
                <w:sz w:val="18"/>
                <w:szCs w:val="18"/>
              </w:rPr>
              <w:t>Kat. AS</w:t>
            </w:r>
            <w:r w:rsidRPr="00EF535A">
              <w:rPr>
                <w:b/>
                <w:bCs/>
                <w:sz w:val="18"/>
                <w:szCs w:val="18"/>
                <w:vertAlign w:val="subscript"/>
              </w:rPr>
              <w:t>NR   </w:t>
            </w:r>
            <w:r w:rsidRPr="00EF535A">
              <w:rPr>
                <w:b/>
                <w:bCs/>
                <w:sz w:val="18"/>
                <w:szCs w:val="18"/>
              </w:rPr>
              <w:t>(tj. brak wymagania)</w:t>
            </w:r>
            <w:bookmarkEnd w:id="1149"/>
          </w:p>
          <w:p w:rsidR="0034055A" w:rsidRPr="00EF535A" w:rsidRDefault="0034055A" w:rsidP="00196DDD">
            <w:pPr>
              <w:rPr>
                <w:b/>
                <w:bCs/>
                <w:sz w:val="18"/>
                <w:szCs w:val="18"/>
              </w:rPr>
            </w:pPr>
            <w:r w:rsidRPr="00EF535A">
              <w:rPr>
                <w:b/>
                <w:bCs/>
                <w:sz w:val="18"/>
                <w:szCs w:val="18"/>
              </w:rPr>
              <w:t> </w:t>
            </w:r>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50" w:name="_Toc160536899"/>
            <w:r w:rsidRPr="00EF535A">
              <w:rPr>
                <w:b/>
                <w:bCs/>
                <w:sz w:val="18"/>
                <w:szCs w:val="18"/>
              </w:rPr>
              <w:t>Całkowita zawartość siarki</w:t>
            </w:r>
            <w:bookmarkEnd w:id="1150"/>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51" w:name="_Toc160536900"/>
            <w:r w:rsidRPr="00EF535A">
              <w:rPr>
                <w:b/>
                <w:bCs/>
                <w:sz w:val="18"/>
                <w:szCs w:val="18"/>
              </w:rPr>
              <w:t>PN-EN</w:t>
            </w:r>
            <w:bookmarkEnd w:id="1151"/>
          </w:p>
          <w:p w:rsidR="0034055A" w:rsidRPr="00EF535A" w:rsidRDefault="0034055A" w:rsidP="00196DDD">
            <w:pPr>
              <w:rPr>
                <w:b/>
                <w:bCs/>
                <w:sz w:val="18"/>
                <w:szCs w:val="18"/>
              </w:rPr>
            </w:pPr>
            <w:bookmarkStart w:id="1152" w:name="_Toc160536901"/>
            <w:r w:rsidRPr="00EF535A">
              <w:rPr>
                <w:b/>
                <w:bCs/>
                <w:sz w:val="18"/>
                <w:szCs w:val="18"/>
              </w:rPr>
              <w:t>1744-1[14]</w:t>
            </w:r>
            <w:bookmarkEnd w:id="1152"/>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53" w:name="_Toc160536902"/>
            <w:r w:rsidRPr="00EF535A">
              <w:rPr>
                <w:b/>
                <w:bCs/>
                <w:sz w:val="18"/>
                <w:szCs w:val="18"/>
              </w:rPr>
              <w:t>6.3</w:t>
            </w:r>
            <w:bookmarkEnd w:id="1153"/>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54" w:name="_Toc160536903"/>
            <w:r w:rsidRPr="00EF535A">
              <w:rPr>
                <w:b/>
                <w:bCs/>
                <w:sz w:val="18"/>
                <w:szCs w:val="18"/>
              </w:rPr>
              <w:t>Kat. S</w:t>
            </w:r>
            <w:r w:rsidRPr="00EF535A">
              <w:rPr>
                <w:b/>
                <w:bCs/>
                <w:sz w:val="18"/>
                <w:szCs w:val="18"/>
                <w:vertAlign w:val="subscript"/>
              </w:rPr>
              <w:t>NR</w:t>
            </w:r>
            <w:r w:rsidRPr="00EF535A">
              <w:rPr>
                <w:b/>
                <w:bCs/>
                <w:sz w:val="18"/>
                <w:szCs w:val="18"/>
              </w:rPr>
              <w:t> (tj. brak wymagania)</w:t>
            </w:r>
            <w:bookmarkEnd w:id="1154"/>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55" w:name="_Toc160536904"/>
            <w:r w:rsidRPr="00EF535A">
              <w:rPr>
                <w:b/>
                <w:bCs/>
                <w:sz w:val="18"/>
                <w:szCs w:val="18"/>
              </w:rPr>
              <w:t>Stałość objętości żużla stalowniczego</w:t>
            </w:r>
            <w:bookmarkEnd w:id="1155"/>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56" w:name="_Toc160536905"/>
            <w:r w:rsidRPr="00EF535A">
              <w:rPr>
                <w:b/>
                <w:bCs/>
                <w:sz w:val="18"/>
                <w:szCs w:val="18"/>
              </w:rPr>
              <w:t>PN-EN 1744-1, </w:t>
            </w:r>
            <w:r w:rsidRPr="00EF535A">
              <w:rPr>
                <w:rStyle w:val="spelle"/>
                <w:rFonts w:ascii="Times New Roman" w:hAnsi="Times New Roman" w:cs="Times New Roman"/>
                <w:b/>
                <w:bCs/>
                <w:sz w:val="18"/>
                <w:szCs w:val="18"/>
              </w:rPr>
              <w:t>roz</w:t>
            </w:r>
            <w:r w:rsidRPr="00EF535A">
              <w:rPr>
                <w:b/>
                <w:bCs/>
                <w:sz w:val="18"/>
                <w:szCs w:val="18"/>
              </w:rPr>
              <w:t>. 19.3 [14]</w:t>
            </w:r>
            <w:bookmarkEnd w:id="1156"/>
            <w:r w:rsidRPr="00EF535A">
              <w:rPr>
                <w:b/>
                <w:bCs/>
                <w:sz w:val="18"/>
                <w:szCs w:val="18"/>
              </w:rPr>
              <w:t> </w:t>
            </w:r>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57" w:name="_Toc160536906"/>
            <w:r w:rsidRPr="00EF535A">
              <w:rPr>
                <w:b/>
                <w:bCs/>
                <w:sz w:val="18"/>
                <w:szCs w:val="18"/>
              </w:rPr>
              <w:t>6.4.2.1</w:t>
            </w:r>
            <w:bookmarkEnd w:id="1157"/>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58" w:name="_Toc160536907"/>
            <w:r w:rsidRPr="00EF535A">
              <w:rPr>
                <w:b/>
                <w:bCs/>
                <w:sz w:val="18"/>
                <w:szCs w:val="18"/>
              </w:rPr>
              <w:t>Kat. V</w:t>
            </w:r>
            <w:r w:rsidRPr="00EF535A">
              <w:rPr>
                <w:b/>
                <w:bCs/>
                <w:sz w:val="18"/>
                <w:szCs w:val="18"/>
                <w:vertAlign w:val="subscript"/>
              </w:rPr>
              <w:t>5</w:t>
            </w:r>
            <w:r w:rsidRPr="00EF535A">
              <w:rPr>
                <w:b/>
                <w:bCs/>
                <w:sz w:val="18"/>
                <w:szCs w:val="18"/>
              </w:rPr>
              <w:t> (tj. pęcznienie ≤ 5 % objętości). Dotyczy żużla z klasycznego pieca tlenowego i elektrycznego pieca łukowego</w:t>
            </w:r>
            <w:bookmarkEnd w:id="1158"/>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59" w:name="_Toc160536908"/>
            <w:r w:rsidRPr="00EF535A">
              <w:rPr>
                <w:b/>
                <w:bCs/>
                <w:sz w:val="18"/>
                <w:szCs w:val="18"/>
              </w:rPr>
              <w:t>Rozpad krzemianowy w żużlu wielko- piecowym kawałkowym</w:t>
            </w:r>
            <w:bookmarkEnd w:id="1159"/>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0" w:name="_Toc160536909"/>
            <w:r w:rsidRPr="00EF535A">
              <w:rPr>
                <w:b/>
                <w:bCs/>
                <w:sz w:val="18"/>
                <w:szCs w:val="18"/>
              </w:rPr>
              <w:t>PN-EN 1744-1, p. 19.1 [14]</w:t>
            </w:r>
            <w:bookmarkEnd w:id="1160"/>
            <w:r w:rsidRPr="00EF535A">
              <w:rPr>
                <w:b/>
                <w:bCs/>
                <w:sz w:val="18"/>
                <w:szCs w:val="18"/>
              </w:rPr>
              <w:t> </w:t>
            </w:r>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1" w:name="_Toc160536910"/>
            <w:r w:rsidRPr="00EF535A">
              <w:rPr>
                <w:b/>
                <w:bCs/>
                <w:sz w:val="18"/>
                <w:szCs w:val="18"/>
              </w:rPr>
              <w:t>6.4.2.2</w:t>
            </w:r>
            <w:bookmarkEnd w:id="1161"/>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2" w:name="_Toc160536911"/>
            <w:r w:rsidRPr="00EF535A">
              <w:rPr>
                <w:b/>
                <w:bCs/>
                <w:sz w:val="18"/>
                <w:szCs w:val="18"/>
              </w:rPr>
              <w:t>Brak rozpadu</w:t>
            </w:r>
            <w:bookmarkEnd w:id="1162"/>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3" w:name="_Toc160536912"/>
            <w:r w:rsidRPr="00EF535A">
              <w:rPr>
                <w:b/>
                <w:bCs/>
                <w:sz w:val="18"/>
                <w:szCs w:val="18"/>
              </w:rPr>
              <w:t>Rozpad żelazawy w żużlu </w:t>
            </w:r>
            <w:r w:rsidRPr="00EF535A">
              <w:rPr>
                <w:rStyle w:val="spelle"/>
                <w:rFonts w:ascii="Times New Roman" w:hAnsi="Times New Roman" w:cs="Times New Roman"/>
                <w:b/>
                <w:bCs/>
                <w:sz w:val="18"/>
                <w:szCs w:val="18"/>
              </w:rPr>
              <w:t>wielkopieco</w:t>
            </w:r>
            <w:r w:rsidRPr="00EF535A">
              <w:rPr>
                <w:b/>
                <w:bCs/>
                <w:sz w:val="18"/>
                <w:szCs w:val="18"/>
              </w:rPr>
              <w:t>- </w:t>
            </w:r>
            <w:r w:rsidRPr="00EF535A">
              <w:rPr>
                <w:rStyle w:val="spelle"/>
                <w:rFonts w:ascii="Times New Roman" w:hAnsi="Times New Roman" w:cs="Times New Roman"/>
                <w:b/>
                <w:bCs/>
                <w:sz w:val="18"/>
                <w:szCs w:val="18"/>
              </w:rPr>
              <w:t>wym</w:t>
            </w:r>
            <w:r w:rsidRPr="00EF535A">
              <w:rPr>
                <w:b/>
                <w:bCs/>
                <w:sz w:val="18"/>
                <w:szCs w:val="18"/>
              </w:rPr>
              <w:t> kawałkowym</w:t>
            </w:r>
            <w:bookmarkEnd w:id="1163"/>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4" w:name="_Toc160536913"/>
            <w:r w:rsidRPr="00EF535A">
              <w:rPr>
                <w:b/>
                <w:bCs/>
                <w:sz w:val="18"/>
                <w:szCs w:val="18"/>
              </w:rPr>
              <w:t>PN-EN 1744-1, p.19.2[14]</w:t>
            </w:r>
            <w:bookmarkEnd w:id="1164"/>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5" w:name="_Toc160536914"/>
            <w:r w:rsidRPr="00EF535A">
              <w:rPr>
                <w:b/>
                <w:bCs/>
                <w:sz w:val="18"/>
                <w:szCs w:val="18"/>
              </w:rPr>
              <w:t>6.4.2.3</w:t>
            </w:r>
            <w:bookmarkEnd w:id="1165"/>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6" w:name="_Toc160536915"/>
            <w:r w:rsidRPr="00EF535A">
              <w:rPr>
                <w:b/>
                <w:bCs/>
                <w:sz w:val="18"/>
                <w:szCs w:val="18"/>
              </w:rPr>
              <w:t>Brak rozpadu</w:t>
            </w:r>
            <w:bookmarkEnd w:id="1166"/>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7" w:name="_Toc160536916"/>
            <w:r w:rsidRPr="00EF535A">
              <w:rPr>
                <w:b/>
                <w:bCs/>
                <w:sz w:val="18"/>
                <w:szCs w:val="18"/>
              </w:rPr>
              <w:t>Składniki rozpuszczalne w wodzie</w:t>
            </w:r>
            <w:bookmarkEnd w:id="1167"/>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8" w:name="_Toc160536917"/>
            <w:r w:rsidRPr="00EF535A">
              <w:rPr>
                <w:b/>
                <w:bCs/>
                <w:sz w:val="18"/>
                <w:szCs w:val="18"/>
              </w:rPr>
              <w:t>PN-EN 1744-3 [15]</w:t>
            </w:r>
            <w:bookmarkEnd w:id="1168"/>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69" w:name="_Toc160536918"/>
            <w:r w:rsidRPr="00EF535A">
              <w:rPr>
                <w:b/>
                <w:bCs/>
                <w:sz w:val="18"/>
                <w:szCs w:val="18"/>
              </w:rPr>
              <w:t>6.4.3</w:t>
            </w:r>
            <w:bookmarkEnd w:id="1169"/>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0" w:name="_Toc160536919"/>
            <w:r w:rsidRPr="00EF535A">
              <w:rPr>
                <w:b/>
                <w:bCs/>
                <w:sz w:val="18"/>
                <w:szCs w:val="18"/>
              </w:rPr>
              <w:t>Brak substancji szkodliwych w stosunku do środowiska wg odrębnych przepisów</w:t>
            </w:r>
            <w:bookmarkEnd w:id="1170"/>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1" w:name="_Toc160536920"/>
            <w:r w:rsidRPr="00EF535A">
              <w:rPr>
                <w:b/>
                <w:bCs/>
                <w:sz w:val="18"/>
                <w:szCs w:val="18"/>
              </w:rPr>
              <w:t>Zanieczyszczenia</w:t>
            </w:r>
            <w:bookmarkEnd w:id="1171"/>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2" w:name="_Toc160536921"/>
            <w:r w:rsidRPr="00EF535A">
              <w:rPr>
                <w:b/>
                <w:bCs/>
                <w:sz w:val="18"/>
                <w:szCs w:val="18"/>
              </w:rPr>
              <w:t>-</w:t>
            </w:r>
            <w:bookmarkEnd w:id="1172"/>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3" w:name="_Toc160536922"/>
            <w:r w:rsidRPr="00EF535A">
              <w:rPr>
                <w:b/>
                <w:bCs/>
                <w:sz w:val="18"/>
                <w:szCs w:val="18"/>
              </w:rPr>
              <w:t>6.4.4</w:t>
            </w:r>
            <w:bookmarkEnd w:id="1173"/>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4" w:name="_Toc160536923"/>
            <w:r w:rsidRPr="00EF535A">
              <w:rPr>
                <w:b/>
                <w:bCs/>
                <w:sz w:val="18"/>
                <w:szCs w:val="18"/>
              </w:rPr>
              <w:t>Brak ciał obcych takich jak drewno, szkło i plastik, mogących pogorszyć wyrób końcowy</w:t>
            </w:r>
            <w:bookmarkEnd w:id="1174"/>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5" w:name="_Toc160536924"/>
            <w:r w:rsidRPr="00EF535A">
              <w:rPr>
                <w:b/>
                <w:bCs/>
                <w:sz w:val="18"/>
                <w:szCs w:val="18"/>
              </w:rPr>
              <w:t>Zgorzel słoneczna bazaltu</w:t>
            </w:r>
            <w:bookmarkEnd w:id="1175"/>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6" w:name="_Toc160536925"/>
            <w:r w:rsidRPr="00EF535A">
              <w:rPr>
                <w:b/>
                <w:bCs/>
                <w:sz w:val="18"/>
                <w:szCs w:val="18"/>
              </w:rPr>
              <w:t>PN-EN 1367-3[13] i PN-EN 1097-2 [10]</w:t>
            </w:r>
            <w:bookmarkEnd w:id="1176"/>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7" w:name="_Toc160536926"/>
            <w:r w:rsidRPr="00EF535A">
              <w:rPr>
                <w:b/>
                <w:bCs/>
                <w:sz w:val="18"/>
                <w:szCs w:val="18"/>
              </w:rPr>
              <w:t>7.2</w:t>
            </w:r>
            <w:bookmarkEnd w:id="1177"/>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8" w:name="_Toc160536927"/>
            <w:r w:rsidRPr="00EF535A">
              <w:rPr>
                <w:b/>
                <w:bCs/>
                <w:sz w:val="18"/>
                <w:szCs w:val="18"/>
              </w:rPr>
              <w:t>Kat. SB</w:t>
            </w:r>
            <w:r w:rsidRPr="00EF535A">
              <w:rPr>
                <w:b/>
                <w:bCs/>
                <w:sz w:val="18"/>
                <w:szCs w:val="18"/>
                <w:vertAlign w:val="subscript"/>
              </w:rPr>
              <w:t>LA Deklarowana</w:t>
            </w:r>
            <w:r w:rsidRPr="00EF535A">
              <w:rPr>
                <w:b/>
                <w:bCs/>
                <w:sz w:val="18"/>
                <w:szCs w:val="18"/>
              </w:rPr>
              <w:t> (tj. wzrost współczynnika Los Angeles po gotowaniu &gt; 8%)</w:t>
            </w:r>
            <w:bookmarkEnd w:id="1178"/>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79" w:name="_Toc160536928"/>
            <w:r w:rsidRPr="00EF535A">
              <w:rPr>
                <w:b/>
                <w:bCs/>
                <w:sz w:val="18"/>
                <w:szCs w:val="18"/>
              </w:rPr>
              <w:t>Mrozoodporność na frakcji kruszy-</w:t>
            </w:r>
            <w:r w:rsidRPr="00EF535A">
              <w:rPr>
                <w:b/>
                <w:bCs/>
                <w:sz w:val="18"/>
                <w:szCs w:val="18"/>
              </w:rPr>
              <w:br/>
            </w:r>
            <w:r w:rsidRPr="00EF535A">
              <w:rPr>
                <w:rStyle w:val="spelle"/>
                <w:rFonts w:ascii="Times New Roman" w:hAnsi="Times New Roman" w:cs="Times New Roman"/>
                <w:b/>
                <w:bCs/>
                <w:sz w:val="18"/>
                <w:szCs w:val="18"/>
              </w:rPr>
              <w:t>wa</w:t>
            </w:r>
            <w:r w:rsidRPr="00EF535A">
              <w:rPr>
                <w:b/>
                <w:bCs/>
                <w:sz w:val="18"/>
                <w:szCs w:val="18"/>
              </w:rPr>
              <w:t>  8/16 mm</w:t>
            </w:r>
            <w:bookmarkEnd w:id="1179"/>
            <w:r w:rsidRPr="00EF535A">
              <w:rPr>
                <w:b/>
                <w:bCs/>
                <w:sz w:val="18"/>
                <w:szCs w:val="18"/>
              </w:rPr>
              <w:t> </w:t>
            </w:r>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0" w:name="_Toc160536929"/>
            <w:r w:rsidRPr="00EF535A">
              <w:rPr>
                <w:b/>
                <w:bCs/>
                <w:sz w:val="18"/>
                <w:szCs w:val="18"/>
              </w:rPr>
              <w:t>PN-EN 1367-1 [12]</w:t>
            </w:r>
            <w:bookmarkEnd w:id="1180"/>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1" w:name="_Toc160536930"/>
            <w:r w:rsidRPr="00EF535A">
              <w:rPr>
                <w:b/>
                <w:bCs/>
                <w:sz w:val="18"/>
                <w:szCs w:val="18"/>
              </w:rPr>
              <w:t>7.3.3</w:t>
            </w:r>
            <w:bookmarkEnd w:id="1181"/>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2" w:name="_Toc160536931"/>
            <w:r w:rsidRPr="00EF535A">
              <w:rPr>
                <w:b/>
                <w:bCs/>
                <w:sz w:val="18"/>
                <w:szCs w:val="18"/>
              </w:rPr>
              <w:t>Skały magmowe i przeobrażone: kat. F</w:t>
            </w:r>
            <w:r w:rsidRPr="00EF535A">
              <w:rPr>
                <w:b/>
                <w:bCs/>
                <w:sz w:val="18"/>
                <w:szCs w:val="18"/>
                <w:vertAlign w:val="subscript"/>
              </w:rPr>
              <w:t>4</w:t>
            </w:r>
            <w:r w:rsidRPr="00EF535A">
              <w:rPr>
                <w:b/>
                <w:bCs/>
                <w:sz w:val="18"/>
                <w:szCs w:val="18"/>
              </w:rPr>
              <w:t> (tj. zamrażanie-rozmrażanie ≤ 4% masy), skały osadowe: kat. F</w:t>
            </w:r>
            <w:r w:rsidRPr="00EF535A">
              <w:rPr>
                <w:b/>
                <w:bCs/>
                <w:sz w:val="18"/>
                <w:szCs w:val="18"/>
                <w:vertAlign w:val="subscript"/>
              </w:rPr>
              <w:t>10</w:t>
            </w:r>
            <w:r w:rsidRPr="00EF535A">
              <w:rPr>
                <w:b/>
                <w:bCs/>
                <w:sz w:val="18"/>
                <w:szCs w:val="18"/>
              </w:rPr>
              <w:t>, kruszywa z recyklingu: kat. F</w:t>
            </w:r>
            <w:r w:rsidRPr="00EF535A">
              <w:rPr>
                <w:b/>
                <w:bCs/>
                <w:sz w:val="18"/>
                <w:szCs w:val="18"/>
                <w:vertAlign w:val="subscript"/>
              </w:rPr>
              <w:t>10</w:t>
            </w:r>
            <w:r w:rsidRPr="00EF535A">
              <w:rPr>
                <w:b/>
                <w:bCs/>
                <w:sz w:val="18"/>
                <w:szCs w:val="18"/>
              </w:rPr>
              <w:t> (F</w:t>
            </w:r>
            <w:r w:rsidRPr="00EF535A">
              <w:rPr>
                <w:b/>
                <w:bCs/>
                <w:sz w:val="18"/>
                <w:szCs w:val="18"/>
                <w:vertAlign w:val="subscript"/>
              </w:rPr>
              <w:t>25</w:t>
            </w:r>
            <w:r w:rsidRPr="00EF535A">
              <w:rPr>
                <w:b/>
                <w:bCs/>
                <w:sz w:val="18"/>
                <w:szCs w:val="18"/>
              </w:rPr>
              <w:t>****)</w:t>
            </w:r>
            <w:bookmarkEnd w:id="1182"/>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3" w:name="_Toc160536932"/>
            <w:r w:rsidRPr="00EF535A">
              <w:rPr>
                <w:b/>
                <w:bCs/>
                <w:sz w:val="18"/>
                <w:szCs w:val="18"/>
              </w:rPr>
              <w:t>Skład materiałowy</w:t>
            </w:r>
            <w:bookmarkEnd w:id="1183"/>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4" w:name="_Toc160536933"/>
            <w:r w:rsidRPr="00EF535A">
              <w:rPr>
                <w:b/>
                <w:bCs/>
                <w:sz w:val="18"/>
                <w:szCs w:val="18"/>
              </w:rPr>
              <w:t>-</w:t>
            </w:r>
            <w:bookmarkEnd w:id="1184"/>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5" w:name="_Toc160536934"/>
            <w:r w:rsidRPr="00EF535A">
              <w:rPr>
                <w:b/>
                <w:bCs/>
                <w:sz w:val="18"/>
                <w:szCs w:val="18"/>
              </w:rPr>
              <w:t>Zał. C</w:t>
            </w:r>
            <w:bookmarkEnd w:id="1185"/>
          </w:p>
          <w:p w:rsidR="0034055A" w:rsidRPr="00EF535A" w:rsidRDefault="0034055A" w:rsidP="00196DDD">
            <w:pPr>
              <w:rPr>
                <w:b/>
                <w:bCs/>
                <w:sz w:val="18"/>
                <w:szCs w:val="18"/>
              </w:rPr>
            </w:pPr>
            <w:r w:rsidRPr="00EF535A">
              <w:rPr>
                <w:b/>
                <w:bCs/>
                <w:sz w:val="18"/>
                <w:szCs w:val="18"/>
              </w:rPr>
              <w:t> </w:t>
            </w:r>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6" w:name="_Toc160536935"/>
            <w:r w:rsidRPr="00EF535A">
              <w:rPr>
                <w:b/>
                <w:bCs/>
                <w:sz w:val="18"/>
                <w:szCs w:val="18"/>
              </w:rPr>
              <w:t>Deklarowany</w:t>
            </w:r>
            <w:bookmarkEnd w:id="1186"/>
          </w:p>
        </w:tc>
      </w:tr>
      <w:tr w:rsidR="0034055A" w:rsidRPr="007078D3"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7" w:name="_Toc160536936"/>
            <w:r w:rsidRPr="00EF535A">
              <w:rPr>
                <w:b/>
                <w:bCs/>
                <w:sz w:val="18"/>
                <w:szCs w:val="18"/>
              </w:rPr>
              <w:t>Istotne cechy środowiskowe</w:t>
            </w:r>
            <w:bookmarkEnd w:id="1187"/>
          </w:p>
        </w:tc>
        <w:tc>
          <w:tcPr>
            <w:tcW w:w="113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8" w:name="_Toc160536937"/>
            <w:r w:rsidRPr="00EF535A">
              <w:rPr>
                <w:b/>
                <w:bCs/>
                <w:sz w:val="18"/>
                <w:szCs w:val="18"/>
              </w:rPr>
              <w:t>-</w:t>
            </w:r>
            <w:bookmarkEnd w:id="1188"/>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89" w:name="_Toc160536938"/>
            <w:r w:rsidRPr="00EF535A">
              <w:rPr>
                <w:b/>
                <w:bCs/>
                <w:sz w:val="18"/>
                <w:szCs w:val="18"/>
              </w:rPr>
              <w:t>Zał. C</w:t>
            </w:r>
            <w:bookmarkEnd w:id="1189"/>
          </w:p>
          <w:p w:rsidR="0034055A" w:rsidRPr="00EF535A" w:rsidRDefault="0034055A" w:rsidP="00196DDD">
            <w:pPr>
              <w:rPr>
                <w:b/>
                <w:bCs/>
                <w:sz w:val="18"/>
                <w:szCs w:val="18"/>
              </w:rPr>
            </w:pPr>
            <w:bookmarkStart w:id="1190" w:name="_Toc160536939"/>
            <w:r w:rsidRPr="00EF535A">
              <w:rPr>
                <w:b/>
                <w:bCs/>
                <w:sz w:val="18"/>
                <w:szCs w:val="18"/>
              </w:rPr>
              <w:t>pkt</w:t>
            </w:r>
            <w:bookmarkEnd w:id="1190"/>
          </w:p>
          <w:p w:rsidR="0034055A" w:rsidRPr="00EF535A" w:rsidRDefault="0034055A" w:rsidP="00196DDD">
            <w:pPr>
              <w:rPr>
                <w:b/>
                <w:bCs/>
                <w:sz w:val="18"/>
                <w:szCs w:val="18"/>
              </w:rPr>
            </w:pPr>
            <w:bookmarkStart w:id="1191" w:name="_Toc160536940"/>
            <w:r w:rsidRPr="00EF535A">
              <w:rPr>
                <w:b/>
                <w:bCs/>
                <w:sz w:val="18"/>
                <w:szCs w:val="18"/>
              </w:rPr>
              <w:t>C.3.4</w:t>
            </w:r>
            <w:bookmarkEnd w:id="1191"/>
          </w:p>
        </w:tc>
        <w:tc>
          <w:tcPr>
            <w:tcW w:w="42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92" w:name="_Toc160536941"/>
            <w:r w:rsidRPr="00EF535A">
              <w:rPr>
                <w:b/>
                <w:bCs/>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bookmarkEnd w:id="1192"/>
          </w:p>
        </w:tc>
      </w:tr>
      <w:tr w:rsidR="0034055A" w:rsidRPr="007078D3" w:rsidTr="0034055A">
        <w:tc>
          <w:tcPr>
            <w:tcW w:w="9212" w:type="dxa"/>
            <w:gridSpan w:val="4"/>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
                <w:bCs/>
                <w:sz w:val="18"/>
                <w:szCs w:val="18"/>
              </w:rPr>
            </w:pPr>
            <w:bookmarkStart w:id="1193" w:name="_Toc160536942"/>
            <w:r w:rsidRPr="00EF535A">
              <w:rPr>
                <w:b/>
                <w:bCs/>
                <w:sz w:val="18"/>
                <w:szCs w:val="18"/>
                <w:vertAlign w:val="superscript"/>
              </w:rPr>
              <w:t>*)</w:t>
            </w:r>
            <w:r w:rsidRPr="00EF535A">
              <w:rPr>
                <w:b/>
                <w:bCs/>
                <w:sz w:val="18"/>
                <w:szCs w:val="18"/>
              </w:rPr>
              <w:t>       Łączna zawartość pyłów w mieszance powinna się mieścić w wybranych krzywych granicznych</w:t>
            </w:r>
            <w:bookmarkEnd w:id="1193"/>
          </w:p>
          <w:p w:rsidR="0034055A" w:rsidRPr="00EF535A" w:rsidRDefault="0034055A" w:rsidP="00196DDD">
            <w:pPr>
              <w:rPr>
                <w:b/>
                <w:bCs/>
                <w:sz w:val="18"/>
                <w:szCs w:val="18"/>
              </w:rPr>
            </w:pPr>
            <w:bookmarkStart w:id="1194" w:name="_Toc160536943"/>
            <w:r w:rsidRPr="00EF535A">
              <w:rPr>
                <w:b/>
                <w:bCs/>
                <w:sz w:val="18"/>
                <w:szCs w:val="18"/>
                <w:vertAlign w:val="superscript"/>
              </w:rPr>
              <w:t>**)</w:t>
            </w:r>
            <w:r w:rsidRPr="00EF535A">
              <w:rPr>
                <w:b/>
                <w:bCs/>
                <w:sz w:val="18"/>
                <w:szCs w:val="18"/>
              </w:rPr>
              <w:t>     Do warstw  podbudów zasadniczych na drogach obciążonych ruchem   KR5-KR7  dopuszcza  się jedynie kruszywa</w:t>
            </w:r>
            <w:bookmarkEnd w:id="1194"/>
          </w:p>
          <w:p w:rsidR="0034055A" w:rsidRPr="00EF535A" w:rsidRDefault="0034055A" w:rsidP="00196DDD">
            <w:pPr>
              <w:rPr>
                <w:b/>
                <w:bCs/>
                <w:sz w:val="18"/>
                <w:szCs w:val="18"/>
              </w:rPr>
            </w:pPr>
            <w:r w:rsidRPr="00EF535A">
              <w:rPr>
                <w:b/>
                <w:bCs/>
                <w:sz w:val="18"/>
                <w:szCs w:val="18"/>
              </w:rPr>
              <w:t xml:space="preserve">           </w:t>
            </w:r>
            <w:bookmarkStart w:id="1195" w:name="_Toc160536944"/>
            <w:r w:rsidRPr="00EF535A">
              <w:rPr>
                <w:b/>
                <w:bCs/>
                <w:sz w:val="18"/>
                <w:szCs w:val="18"/>
              </w:rPr>
              <w:t>charakteryzujące się odpornością na rozdrabnianie LA≤35</w:t>
            </w:r>
            <w:bookmarkEnd w:id="1195"/>
            <w:r w:rsidRPr="00EF535A">
              <w:rPr>
                <w:b/>
                <w:bCs/>
                <w:sz w:val="18"/>
                <w:szCs w:val="18"/>
              </w:rPr>
              <w:t>  </w:t>
            </w:r>
          </w:p>
          <w:p w:rsidR="0034055A" w:rsidRPr="00EF535A" w:rsidRDefault="0034055A" w:rsidP="00196DDD">
            <w:pPr>
              <w:rPr>
                <w:b/>
                <w:bCs/>
                <w:sz w:val="18"/>
                <w:szCs w:val="18"/>
              </w:rPr>
            </w:pPr>
            <w:bookmarkStart w:id="1196" w:name="_Toc160536945"/>
            <w:r w:rsidRPr="00EF535A">
              <w:rPr>
                <w:b/>
                <w:bCs/>
                <w:sz w:val="18"/>
                <w:szCs w:val="18"/>
                <w:vertAlign w:val="superscript"/>
              </w:rPr>
              <w:t>***)</w:t>
            </w:r>
            <w:r w:rsidRPr="00EF535A">
              <w:rPr>
                <w:b/>
                <w:bCs/>
                <w:sz w:val="18"/>
                <w:szCs w:val="18"/>
              </w:rPr>
              <w:t>    W przypadku, gdy wymaganie nie jest spełnione, należy sprawdzić mrozoodporność (F</w:t>
            </w:r>
            <w:r w:rsidRPr="00EF535A">
              <w:rPr>
                <w:b/>
                <w:bCs/>
                <w:sz w:val="18"/>
                <w:szCs w:val="18"/>
                <w:vertAlign w:val="subscript"/>
              </w:rPr>
              <w:t>4</w:t>
            </w:r>
            <w:r w:rsidRPr="00EF535A">
              <w:rPr>
                <w:b/>
                <w:bCs/>
                <w:sz w:val="18"/>
                <w:szCs w:val="18"/>
              </w:rPr>
              <w:t>)</w:t>
            </w:r>
            <w:bookmarkEnd w:id="1196"/>
          </w:p>
          <w:p w:rsidR="0034055A" w:rsidRPr="00EF535A" w:rsidRDefault="0034055A" w:rsidP="00196DDD">
            <w:pPr>
              <w:rPr>
                <w:b/>
                <w:bCs/>
                <w:sz w:val="18"/>
                <w:szCs w:val="18"/>
              </w:rPr>
            </w:pPr>
            <w:bookmarkStart w:id="1197" w:name="_Toc160536946"/>
            <w:r w:rsidRPr="00EF535A">
              <w:rPr>
                <w:b/>
                <w:bCs/>
                <w:sz w:val="18"/>
                <w:szCs w:val="18"/>
                <w:vertAlign w:val="superscript"/>
              </w:rPr>
              <w:t>****)</w:t>
            </w:r>
            <w:r w:rsidRPr="00EF535A">
              <w:rPr>
                <w:b/>
                <w:bCs/>
                <w:sz w:val="18"/>
                <w:szCs w:val="18"/>
              </w:rPr>
              <w:t>  Pod warunkiem, gdy zawartość w mieszance nie przekracza 50% m/m</w:t>
            </w:r>
            <w:bookmarkEnd w:id="1197"/>
          </w:p>
        </w:tc>
      </w:tr>
    </w:tbl>
    <w:p w:rsidR="0034055A" w:rsidRPr="007078D3" w:rsidRDefault="0034055A" w:rsidP="00196DDD">
      <w:pPr>
        <w:rPr>
          <w:color w:val="000000"/>
        </w:rPr>
      </w:pPr>
      <w:bookmarkStart w:id="1198" w:name="_Toc160536947"/>
      <w:r w:rsidRPr="007078D3">
        <w:rPr>
          <w:b/>
          <w:bCs/>
          <w:color w:val="000000"/>
        </w:rPr>
        <w:t>2.2.4. </w:t>
      </w:r>
      <w:r w:rsidRPr="007078D3">
        <w:rPr>
          <w:color w:val="000000"/>
        </w:rPr>
        <w:t>Woda do zraszania kruszywa</w:t>
      </w:r>
      <w:bookmarkEnd w:id="1198"/>
    </w:p>
    <w:p w:rsidR="0034055A" w:rsidRPr="007078D3" w:rsidRDefault="0034055A" w:rsidP="00196DDD">
      <w:pPr>
        <w:rPr>
          <w:color w:val="000000"/>
        </w:rPr>
      </w:pPr>
      <w:bookmarkStart w:id="1199" w:name="_Toc160536948"/>
      <w:r w:rsidRPr="007078D3">
        <w:rPr>
          <w:color w:val="000000"/>
        </w:rPr>
        <w:t>Do zraszania kruszywa należy stosować wodę nie zawierającą składników wpływających szkodliwie na mieszankę kruszywa, ale umożliwiającą właściwe zagęszczenie mieszanki niezwiązanej, odpowiadającą wymaganiom normy PN-EN 1008 [24]. Stosowanie wody wodociągowej nie wymaga badań.</w:t>
      </w:r>
      <w:bookmarkEnd w:id="1199"/>
    </w:p>
    <w:p w:rsidR="0034055A" w:rsidRPr="007078D3" w:rsidRDefault="0034055A" w:rsidP="00196DDD">
      <w:pPr>
        <w:rPr>
          <w:caps/>
          <w:color w:val="000000"/>
        </w:rPr>
      </w:pPr>
      <w:r w:rsidRPr="007078D3">
        <w:rPr>
          <w:caps/>
          <w:color w:val="000000"/>
        </w:rPr>
        <w:t>3. SPRZĘT</w:t>
      </w:r>
    </w:p>
    <w:p w:rsidR="0034055A" w:rsidRPr="007078D3" w:rsidRDefault="0034055A" w:rsidP="00196DDD">
      <w:pPr>
        <w:rPr>
          <w:color w:val="000000"/>
        </w:rPr>
      </w:pPr>
      <w:bookmarkStart w:id="1200" w:name="_Toc344981396"/>
      <w:r w:rsidRPr="007078D3">
        <w:rPr>
          <w:color w:val="000000"/>
        </w:rPr>
        <w:t>3.1. Ogólne wymagania dotyczące sprzętu</w:t>
      </w:r>
      <w:bookmarkEnd w:id="1200"/>
    </w:p>
    <w:p w:rsidR="0034055A" w:rsidRPr="007078D3" w:rsidRDefault="0034055A" w:rsidP="00196DDD">
      <w:pPr>
        <w:rPr>
          <w:color w:val="000000"/>
        </w:rPr>
      </w:pPr>
      <w:r w:rsidRPr="007078D3">
        <w:rPr>
          <w:color w:val="000000"/>
        </w:rPr>
        <w:t xml:space="preserve">            Ogólne wymagania dotyczące sprzętu podano w </w:t>
      </w:r>
      <w:r w:rsidR="00985629">
        <w:rPr>
          <w:color w:val="000000"/>
        </w:rPr>
        <w:t>SST</w:t>
      </w:r>
      <w:r w:rsidRPr="007078D3">
        <w:rPr>
          <w:color w:val="000000"/>
        </w:rPr>
        <w:t>  D-M-00.00.00 „Wymagania ogólne” [1], pkt 3.</w:t>
      </w:r>
    </w:p>
    <w:p w:rsidR="0034055A" w:rsidRPr="007078D3" w:rsidRDefault="0034055A" w:rsidP="00196DDD">
      <w:pPr>
        <w:rPr>
          <w:color w:val="000000"/>
        </w:rPr>
      </w:pPr>
      <w:r w:rsidRPr="007078D3">
        <w:rPr>
          <w:color w:val="000000"/>
        </w:rPr>
        <w:t>3.2. Sprzęt stosowany do wykonania robót</w:t>
      </w:r>
    </w:p>
    <w:p w:rsidR="0034055A" w:rsidRPr="007078D3" w:rsidRDefault="0034055A" w:rsidP="00196DDD">
      <w:pPr>
        <w:rPr>
          <w:color w:val="000000"/>
        </w:rPr>
      </w:pPr>
      <w:r w:rsidRPr="007078D3">
        <w:rPr>
          <w:color w:val="000000"/>
        </w:rPr>
        <w:t>            Przy wykonywaniu robót Wykonawca w zależności od potrzeb, powinien wykazać się możliwością korzystania ze sprzętu dostosowanego do przyjętej metody robót, jak:</w:t>
      </w:r>
    </w:p>
    <w:p w:rsidR="0034055A" w:rsidRPr="007078D3" w:rsidRDefault="0034055A" w:rsidP="00196DDD">
      <w:pPr>
        <w:rPr>
          <w:color w:val="000000"/>
        </w:rPr>
      </w:pPr>
      <w:r w:rsidRPr="007078D3">
        <w:rPr>
          <w:color w:val="000000"/>
        </w:rPr>
        <w:lastRenderedPageBreak/>
        <w:t>a)   mieszarki do wytwarzania mieszanki kruszywa, wyposażone w urządzenia dozujące wodę, które powinny zapewnić wytworzenie jednorodnej mieszanki o wilgotności optymalnej,</w:t>
      </w:r>
    </w:p>
    <w:p w:rsidR="0034055A" w:rsidRPr="007078D3" w:rsidRDefault="0034055A" w:rsidP="00196DDD">
      <w:pPr>
        <w:rPr>
          <w:color w:val="000000"/>
        </w:rPr>
      </w:pPr>
      <w:r w:rsidRPr="007078D3">
        <w:rPr>
          <w:color w:val="000000"/>
        </w:rPr>
        <w:t>b)  układarki lub równiarki do rozkładania mieszanki kruszywa niezwiązanego,</w:t>
      </w:r>
    </w:p>
    <w:p w:rsidR="0034055A" w:rsidRPr="007078D3" w:rsidRDefault="0034055A" w:rsidP="00196DDD">
      <w:pPr>
        <w:rPr>
          <w:color w:val="000000"/>
        </w:rPr>
      </w:pPr>
      <w:r w:rsidRPr="007078D3">
        <w:rPr>
          <w:color w:val="000000"/>
        </w:rPr>
        <w:t>c)   walce ogumione i stalowe wibracyjne lub statyczne do zagęszczania mieszanki,</w:t>
      </w:r>
    </w:p>
    <w:p w:rsidR="0034055A" w:rsidRPr="007078D3" w:rsidRDefault="0034055A" w:rsidP="00196DDD">
      <w:pPr>
        <w:rPr>
          <w:color w:val="000000"/>
        </w:rPr>
      </w:pPr>
      <w:r w:rsidRPr="007078D3">
        <w:rPr>
          <w:color w:val="000000"/>
        </w:rPr>
        <w:t>d)  zagęszczarki płytowe, ubijaki mechaniczne lub małe walce wibracyjne, do stosowania w miejscach trudno dostępnych.</w:t>
      </w:r>
    </w:p>
    <w:p w:rsidR="0034055A" w:rsidRPr="007078D3" w:rsidRDefault="0034055A" w:rsidP="00196DDD">
      <w:pPr>
        <w:rPr>
          <w:color w:val="000000"/>
        </w:rPr>
      </w:pPr>
      <w:r w:rsidRPr="007078D3">
        <w:rPr>
          <w:color w:val="000000"/>
        </w:rPr>
        <w:t>Sprzęt powinien odpowiadać wymaganiom określonym w dokumentacji projektowej, ST, instrukcjach producentów lub propozycji Wykonawcy i powinien być zaakceptowany przez Inżyniera.</w:t>
      </w:r>
    </w:p>
    <w:p w:rsidR="0034055A" w:rsidRPr="007078D3" w:rsidRDefault="0034055A" w:rsidP="00196DDD">
      <w:pPr>
        <w:rPr>
          <w:caps/>
          <w:color w:val="000000"/>
        </w:rPr>
      </w:pPr>
      <w:r w:rsidRPr="007078D3">
        <w:rPr>
          <w:caps/>
          <w:color w:val="000000"/>
        </w:rPr>
        <w:t>4. TRANSPORT</w:t>
      </w:r>
    </w:p>
    <w:p w:rsidR="0034055A" w:rsidRPr="007078D3" w:rsidRDefault="0034055A" w:rsidP="00196DDD">
      <w:pPr>
        <w:rPr>
          <w:color w:val="000000"/>
        </w:rPr>
      </w:pPr>
      <w:bookmarkStart w:id="1201" w:name="_Toc344981397"/>
      <w:r w:rsidRPr="007078D3">
        <w:rPr>
          <w:color w:val="000000"/>
        </w:rPr>
        <w:t>4.1. Ogólne wymagania dotyczące transportu</w:t>
      </w:r>
      <w:bookmarkEnd w:id="1201"/>
    </w:p>
    <w:p w:rsidR="0034055A" w:rsidRPr="007078D3" w:rsidRDefault="0034055A" w:rsidP="00196DDD">
      <w:pPr>
        <w:rPr>
          <w:color w:val="000000"/>
        </w:rPr>
      </w:pPr>
      <w:r w:rsidRPr="007078D3">
        <w:rPr>
          <w:color w:val="000000"/>
        </w:rPr>
        <w:t xml:space="preserve">          Ogólne wymagania dotyczące transportu podano w </w:t>
      </w:r>
      <w:r w:rsidR="00985629">
        <w:rPr>
          <w:color w:val="000000"/>
        </w:rPr>
        <w:t>SST</w:t>
      </w:r>
      <w:r w:rsidRPr="007078D3">
        <w:rPr>
          <w:color w:val="000000"/>
        </w:rPr>
        <w:t xml:space="preserve"> D-M-00.00.00 „Wymagania ogólne” [1],  pkt 4.</w:t>
      </w:r>
    </w:p>
    <w:p w:rsidR="0034055A" w:rsidRPr="007078D3" w:rsidRDefault="0034055A" w:rsidP="00196DDD">
      <w:pPr>
        <w:rPr>
          <w:color w:val="000000"/>
        </w:rPr>
      </w:pPr>
      <w:r w:rsidRPr="007078D3">
        <w:rPr>
          <w:color w:val="000000"/>
        </w:rPr>
        <w:t>4.2. Transport materiałów</w:t>
      </w:r>
    </w:p>
    <w:p w:rsidR="0034055A" w:rsidRPr="007078D3" w:rsidRDefault="0034055A" w:rsidP="00196DDD">
      <w:pPr>
        <w:rPr>
          <w:color w:val="000000"/>
        </w:rPr>
      </w:pPr>
      <w:r w:rsidRPr="007078D3">
        <w:rPr>
          <w:color w:val="000000"/>
        </w:rPr>
        <w:t>            Materiały sypkie (kruszywa) można przewozić dowolnymi środkami transportu, w warunkach zabezpieczających je przed  zanieczyszczeniem, zmieszaniem z innymi materiałami i nadmiernym zawilgoceniem.</w:t>
      </w:r>
    </w:p>
    <w:p w:rsidR="0034055A" w:rsidRPr="007078D3" w:rsidRDefault="0034055A" w:rsidP="00196DDD">
      <w:pPr>
        <w:rPr>
          <w:color w:val="000000"/>
        </w:rPr>
      </w:pPr>
      <w:r w:rsidRPr="007078D3">
        <w:rPr>
          <w:color w:val="000000"/>
        </w:rPr>
        <w:t>            Woda może być dostarczana wodociągiem lub przewoźnymi zbiornikami wody.</w:t>
      </w:r>
    </w:p>
    <w:p w:rsidR="0034055A" w:rsidRPr="007078D3" w:rsidRDefault="0034055A" w:rsidP="00196DDD">
      <w:pPr>
        <w:rPr>
          <w:caps/>
          <w:color w:val="000000"/>
        </w:rPr>
      </w:pPr>
      <w:r w:rsidRPr="007078D3">
        <w:rPr>
          <w:caps/>
          <w:color w:val="000000"/>
        </w:rPr>
        <w:t>5. WYKONANIE ROBÓT</w:t>
      </w:r>
    </w:p>
    <w:p w:rsidR="0034055A" w:rsidRPr="007078D3" w:rsidRDefault="0034055A" w:rsidP="00196DDD">
      <w:pPr>
        <w:rPr>
          <w:color w:val="000000"/>
        </w:rPr>
      </w:pPr>
      <w:bookmarkStart w:id="1202" w:name="_Toc344981398"/>
      <w:r w:rsidRPr="007078D3">
        <w:rPr>
          <w:color w:val="000000"/>
        </w:rPr>
        <w:t>5.1. Ogólne zasady wykonania robót</w:t>
      </w:r>
      <w:bookmarkEnd w:id="1202"/>
    </w:p>
    <w:p w:rsidR="0034055A" w:rsidRPr="007078D3" w:rsidRDefault="0034055A" w:rsidP="00196DDD">
      <w:pPr>
        <w:rPr>
          <w:color w:val="000000"/>
        </w:rPr>
      </w:pPr>
      <w:r w:rsidRPr="007078D3">
        <w:rPr>
          <w:color w:val="000000"/>
        </w:rPr>
        <w:t xml:space="preserve">               Ogólne zasady wykonania robót podano w </w:t>
      </w:r>
      <w:r w:rsidR="00985629">
        <w:rPr>
          <w:color w:val="000000"/>
        </w:rPr>
        <w:t>SST</w:t>
      </w:r>
      <w:r w:rsidRPr="007078D3">
        <w:rPr>
          <w:color w:val="000000"/>
        </w:rPr>
        <w:t xml:space="preserve"> D-M-00.00.00 „Wymagania ogólne” [1], pkt 5.</w:t>
      </w:r>
    </w:p>
    <w:p w:rsidR="0034055A" w:rsidRPr="007078D3" w:rsidRDefault="0034055A" w:rsidP="00196DDD">
      <w:pPr>
        <w:rPr>
          <w:color w:val="000000"/>
        </w:rPr>
      </w:pPr>
      <w:r w:rsidRPr="007078D3">
        <w:rPr>
          <w:color w:val="000000"/>
        </w:rPr>
        <w:t>5.2. Zasady wykonywania robót</w:t>
      </w:r>
    </w:p>
    <w:p w:rsidR="0034055A" w:rsidRPr="007078D3" w:rsidRDefault="0034055A" w:rsidP="00196DDD">
      <w:pPr>
        <w:rPr>
          <w:color w:val="000000"/>
        </w:rPr>
      </w:pPr>
      <w:r w:rsidRPr="007078D3">
        <w:rPr>
          <w:color w:val="000000"/>
        </w:rPr>
        <w:t>Sposób wykonania robót powinien być zgodny z dokumentacją projektową i ST. W przypadku braku wystarczających danych można korzystać z ustaleń podanych w niniejszej specyfikacji oraz z informacji podanych w załącznikach.</w:t>
      </w:r>
    </w:p>
    <w:p w:rsidR="0034055A" w:rsidRPr="007078D3" w:rsidRDefault="0034055A" w:rsidP="00196DDD">
      <w:pPr>
        <w:rPr>
          <w:color w:val="000000"/>
        </w:rPr>
      </w:pPr>
      <w:r w:rsidRPr="007078D3">
        <w:rPr>
          <w:color w:val="000000"/>
        </w:rPr>
        <w:t>            Podstawowe czynności przy wykonaniu robót obejmują:</w:t>
      </w:r>
    </w:p>
    <w:p w:rsidR="0034055A" w:rsidRPr="007078D3" w:rsidRDefault="0034055A" w:rsidP="00196DDD">
      <w:pPr>
        <w:rPr>
          <w:color w:val="000000"/>
        </w:rPr>
      </w:pPr>
      <w:r w:rsidRPr="007078D3">
        <w:rPr>
          <w:color w:val="000000"/>
        </w:rPr>
        <w:t>1.   roboty przygotowawcze,</w:t>
      </w:r>
    </w:p>
    <w:p w:rsidR="0034055A" w:rsidRPr="007078D3" w:rsidRDefault="0034055A" w:rsidP="00196DDD">
      <w:pPr>
        <w:rPr>
          <w:color w:val="000000"/>
        </w:rPr>
      </w:pPr>
      <w:r w:rsidRPr="007078D3">
        <w:rPr>
          <w:color w:val="000000"/>
        </w:rPr>
        <w:t>2.   projektowanie mieszanki,</w:t>
      </w:r>
    </w:p>
    <w:p w:rsidR="0034055A" w:rsidRPr="007078D3" w:rsidRDefault="0034055A" w:rsidP="00196DDD">
      <w:pPr>
        <w:rPr>
          <w:color w:val="000000"/>
        </w:rPr>
      </w:pPr>
      <w:r w:rsidRPr="007078D3">
        <w:rPr>
          <w:color w:val="000000"/>
        </w:rPr>
        <w:t>3.   odcinek próbny,</w:t>
      </w:r>
    </w:p>
    <w:p w:rsidR="0034055A" w:rsidRPr="007078D3" w:rsidRDefault="0034055A" w:rsidP="00196DDD">
      <w:pPr>
        <w:rPr>
          <w:color w:val="000000"/>
        </w:rPr>
      </w:pPr>
      <w:r w:rsidRPr="007078D3">
        <w:rPr>
          <w:color w:val="000000"/>
        </w:rPr>
        <w:t>4.   wbudowanie mieszanki,</w:t>
      </w:r>
    </w:p>
    <w:p w:rsidR="0034055A" w:rsidRPr="007078D3" w:rsidRDefault="0034055A" w:rsidP="00196DDD">
      <w:pPr>
        <w:rPr>
          <w:color w:val="000000"/>
        </w:rPr>
      </w:pPr>
      <w:r w:rsidRPr="007078D3">
        <w:rPr>
          <w:color w:val="000000"/>
        </w:rPr>
        <w:t>5.   roboty wykończeniowe.</w:t>
      </w:r>
    </w:p>
    <w:p w:rsidR="0034055A" w:rsidRPr="007078D3" w:rsidRDefault="0034055A" w:rsidP="00196DDD">
      <w:pPr>
        <w:rPr>
          <w:color w:val="000000"/>
        </w:rPr>
      </w:pPr>
      <w:r w:rsidRPr="007078D3">
        <w:rPr>
          <w:color w:val="000000"/>
        </w:rPr>
        <w:t>5.3. Roboty przygotowawcze</w:t>
      </w:r>
    </w:p>
    <w:p w:rsidR="0034055A" w:rsidRPr="007078D3" w:rsidRDefault="0034055A" w:rsidP="00196DDD">
      <w:pPr>
        <w:rPr>
          <w:color w:val="000000"/>
        </w:rPr>
      </w:pPr>
      <w:r w:rsidRPr="007078D3">
        <w:rPr>
          <w:color w:val="000000"/>
        </w:rPr>
        <w:t>            Przed przystąpieniem do robót należy, na podstawie dokumentacji projektowej,  ST lub wskazań Inżyniera:</w:t>
      </w:r>
    </w:p>
    <w:p w:rsidR="0034055A" w:rsidRPr="007078D3" w:rsidRDefault="0034055A" w:rsidP="00196DDD">
      <w:pPr>
        <w:rPr>
          <w:color w:val="000000"/>
        </w:rPr>
      </w:pPr>
      <w:r w:rsidRPr="007078D3">
        <w:rPr>
          <w:color w:val="000000"/>
        </w:rPr>
        <w:t>–    ustalić lokalizację robót,</w:t>
      </w:r>
    </w:p>
    <w:p w:rsidR="0034055A" w:rsidRPr="007078D3" w:rsidRDefault="0034055A" w:rsidP="00196DDD">
      <w:pPr>
        <w:rPr>
          <w:color w:val="000000"/>
        </w:rPr>
      </w:pPr>
      <w:r w:rsidRPr="007078D3">
        <w:rPr>
          <w:color w:val="000000"/>
        </w:rPr>
        <w:t>–    przeprowadzić obliczenia i pomiary niezbędne do szczegółowego wytyczenia robót oraz ustalenia danych wysokościowych,</w:t>
      </w:r>
    </w:p>
    <w:p w:rsidR="0034055A" w:rsidRPr="007078D3" w:rsidRDefault="0034055A" w:rsidP="00196DDD">
      <w:pPr>
        <w:rPr>
          <w:color w:val="000000"/>
        </w:rPr>
      </w:pPr>
      <w:r w:rsidRPr="007078D3">
        <w:rPr>
          <w:color w:val="000000"/>
        </w:rPr>
        <w:t>–    usunąć przeszkody utrudniające wykonanie robót,</w:t>
      </w:r>
    </w:p>
    <w:p w:rsidR="0034055A" w:rsidRPr="007078D3" w:rsidRDefault="0034055A" w:rsidP="00196DDD">
      <w:pPr>
        <w:rPr>
          <w:color w:val="000000"/>
        </w:rPr>
      </w:pPr>
      <w:r w:rsidRPr="007078D3">
        <w:rPr>
          <w:color w:val="000000"/>
        </w:rPr>
        <w:t>–    wprowadzić oznakowanie drogi na okres robót,</w:t>
      </w:r>
    </w:p>
    <w:p w:rsidR="0034055A" w:rsidRPr="007078D3" w:rsidRDefault="0034055A" w:rsidP="00196DDD">
      <w:pPr>
        <w:rPr>
          <w:color w:val="000000"/>
        </w:rPr>
      </w:pPr>
      <w:r w:rsidRPr="007078D3">
        <w:rPr>
          <w:color w:val="000000"/>
        </w:rPr>
        <w:t>–    zgromadzić materiały i sprzęt potrzebne do rozpoczęcia robót.</w:t>
      </w:r>
    </w:p>
    <w:p w:rsidR="0034055A" w:rsidRPr="007078D3" w:rsidRDefault="0034055A" w:rsidP="00196DDD">
      <w:pPr>
        <w:rPr>
          <w:color w:val="000000"/>
        </w:rPr>
      </w:pPr>
      <w:r w:rsidRPr="007078D3">
        <w:rPr>
          <w:color w:val="000000"/>
        </w:rPr>
        <w:t xml:space="preserve">Można dodatkowo korzystać z </w:t>
      </w:r>
      <w:r w:rsidR="00985629">
        <w:rPr>
          <w:color w:val="000000"/>
        </w:rPr>
        <w:t>SST</w:t>
      </w:r>
      <w:r w:rsidRPr="007078D3">
        <w:rPr>
          <w:color w:val="000000"/>
        </w:rPr>
        <w:t xml:space="preserve"> D-01.00.00 [2] przy robotach przygotowawczych oraz z </w:t>
      </w:r>
      <w:r w:rsidR="00985629">
        <w:rPr>
          <w:color w:val="000000"/>
        </w:rPr>
        <w:t>SST</w:t>
      </w:r>
      <w:r w:rsidRPr="007078D3">
        <w:rPr>
          <w:color w:val="000000"/>
        </w:rPr>
        <w:t xml:space="preserve"> D-02.00.00 [3] przy występowaniu robót ziemnych.</w:t>
      </w:r>
    </w:p>
    <w:p w:rsidR="0034055A" w:rsidRPr="007078D3" w:rsidRDefault="0034055A" w:rsidP="00196DDD">
      <w:pPr>
        <w:rPr>
          <w:color w:val="000000"/>
        </w:rPr>
      </w:pPr>
      <w:r w:rsidRPr="007078D3">
        <w:rPr>
          <w:color w:val="000000"/>
        </w:rPr>
        <w:t>5.4. Projektowanie mieszanki kruszywa niezwiązanego</w:t>
      </w:r>
    </w:p>
    <w:p w:rsidR="0034055A" w:rsidRPr="007078D3" w:rsidRDefault="0034055A" w:rsidP="00196DDD">
      <w:pPr>
        <w:rPr>
          <w:color w:val="000000"/>
        </w:rPr>
      </w:pPr>
      <w:r w:rsidRPr="007078D3">
        <w:rPr>
          <w:b/>
          <w:bCs/>
          <w:color w:val="000000"/>
        </w:rPr>
        <w:t>5.4.1. </w:t>
      </w:r>
      <w:r w:rsidRPr="007078D3">
        <w:rPr>
          <w:color w:val="000000"/>
        </w:rPr>
        <w:t>Postanowienia ogólne</w:t>
      </w:r>
    </w:p>
    <w:p w:rsidR="0034055A" w:rsidRPr="007078D3" w:rsidRDefault="0034055A" w:rsidP="00196DDD">
      <w:pPr>
        <w:rPr>
          <w:color w:val="000000"/>
        </w:rPr>
      </w:pPr>
      <w:r w:rsidRPr="007078D3">
        <w:rPr>
          <w:color w:val="000000"/>
        </w:rPr>
        <w:t>Przed przystąpieniem do robót, w terminie uzgodnionym z Inżynierem, Wykonawca dostarczy Inżynierowi do akceptacji projekt składu mieszanki kruszywa niezwiązanego oraz wyniki badań laboratoryjnych poszczególnych składników i próbki materiałów pobrane w obecności Inżyniera do wykonania badań kontrolnych przez Inżyniera.</w:t>
      </w:r>
    </w:p>
    <w:p w:rsidR="0034055A" w:rsidRPr="007078D3" w:rsidRDefault="0034055A" w:rsidP="00196DDD">
      <w:pPr>
        <w:rPr>
          <w:color w:val="000000"/>
        </w:rPr>
      </w:pPr>
      <w:r w:rsidRPr="007078D3">
        <w:rPr>
          <w:color w:val="000000"/>
        </w:rPr>
        <w:t>            Projektowanie mieszanki polega na doborze kruszywa do mieszanki oraz ilości wody. Procedura projektowa powinna być oparta na próbach laboratoryjnych i/lub polowych przeprowadzonych na tych samych składnikach, z tych samych źródeł i o takich samych właściwościach, jak te które będą stosowane do wykonania podbudowy zasadniczej.</w:t>
      </w:r>
    </w:p>
    <w:p w:rsidR="0034055A" w:rsidRPr="007078D3" w:rsidRDefault="0034055A" w:rsidP="00196DDD">
      <w:pPr>
        <w:rPr>
          <w:color w:val="000000"/>
        </w:rPr>
      </w:pPr>
      <w:r w:rsidRPr="007078D3">
        <w:rPr>
          <w:color w:val="000000"/>
        </w:rPr>
        <w:t>            Skład mieszanki projektuje się zgodnie z wymaganiami wobec mieszanek niezwiązanych do podbudowy zasadniczej, określonych w tabeli 4. Wartości graniczne i tolerancje zawierają rozrzut wynikający z pobierania i dzielenia próbki, przedział ufności (precyzja w porównywalnych warunkach) oraz nierównomierności warunków wykonawczych.</w:t>
      </w:r>
    </w:p>
    <w:p w:rsidR="0034055A" w:rsidRPr="007078D3" w:rsidRDefault="0034055A" w:rsidP="00196DDD">
      <w:pPr>
        <w:rPr>
          <w:color w:val="000000"/>
        </w:rPr>
      </w:pPr>
      <w:r w:rsidRPr="007078D3">
        <w:rPr>
          <w:color w:val="000000"/>
        </w:rPr>
        <w:t>            Mieszanki kruszyw powinny być tak produkowane i składowane, aby wykazywały zachowanie jednakowych właściwości, spełniając wymagania z tabeli 4. Mieszanki kruszyw powinny być jednorodnie wymieszane i powinny charakteryzować się równomierną wilgotnością. Kruszywa powinny odpowiadać wymaganiom tabeli 1, przy czym w mieszankach wyprodukowanych z różnych kruszyw, każdy ze składników musi spełniać wymagania tabeli 1.</w:t>
      </w:r>
    </w:p>
    <w:p w:rsidR="0034055A" w:rsidRPr="007078D3" w:rsidRDefault="0034055A" w:rsidP="00196DDD">
      <w:pPr>
        <w:rPr>
          <w:color w:val="000000"/>
        </w:rPr>
      </w:pPr>
      <w:r w:rsidRPr="007078D3">
        <w:rPr>
          <w:color w:val="000000"/>
        </w:rPr>
        <w:t>            Przy projektowaniu mieszanek kruszyw z recyklingu można ustalać skład  mieszanek, wzorując się na przykładach podanych w załączniku 2.</w:t>
      </w:r>
    </w:p>
    <w:p w:rsidR="0034055A" w:rsidRPr="007078D3" w:rsidRDefault="0034055A" w:rsidP="00196DDD">
      <w:pPr>
        <w:rPr>
          <w:color w:val="000000"/>
        </w:rPr>
      </w:pPr>
      <w:r w:rsidRPr="007078D3">
        <w:rPr>
          <w:b/>
          <w:bCs/>
          <w:color w:val="000000"/>
        </w:rPr>
        <w:t>5.4.2. </w:t>
      </w:r>
      <w:r w:rsidRPr="007078D3">
        <w:rPr>
          <w:color w:val="000000"/>
        </w:rPr>
        <w:t>Wymagania wobec mieszanek</w:t>
      </w:r>
    </w:p>
    <w:p w:rsidR="0034055A" w:rsidRPr="007078D3" w:rsidRDefault="0034055A" w:rsidP="00196DDD">
      <w:pPr>
        <w:rPr>
          <w:color w:val="000000"/>
        </w:rPr>
      </w:pPr>
      <w:r w:rsidRPr="007078D3">
        <w:rPr>
          <w:color w:val="000000"/>
        </w:rPr>
        <w:t>            W warstwach podbudowy zasadniczej można stosować następujące mieszanki kruszyw:</w:t>
      </w:r>
    </w:p>
    <w:p w:rsidR="0034055A" w:rsidRPr="00EF535A" w:rsidRDefault="0034055A" w:rsidP="00196DDD">
      <w:pPr>
        <w:rPr>
          <w:b/>
          <w:bCs/>
          <w:color w:val="000000"/>
        </w:rPr>
      </w:pPr>
      <w:bookmarkStart w:id="1203" w:name="_Toc160536949"/>
      <w:r w:rsidRPr="007078D3">
        <w:rPr>
          <w:color w:val="000000"/>
        </w:rPr>
        <w:t>1</w:t>
      </w:r>
      <w:r w:rsidRPr="00EF535A">
        <w:rPr>
          <w:b/>
          <w:bCs/>
          <w:color w:val="000000"/>
        </w:rPr>
        <w:t>.        0/31,5 mm,</w:t>
      </w:r>
      <w:bookmarkEnd w:id="1203"/>
    </w:p>
    <w:p w:rsidR="0034055A" w:rsidRPr="00EF535A" w:rsidRDefault="0034055A" w:rsidP="00196DDD">
      <w:pPr>
        <w:rPr>
          <w:b/>
          <w:bCs/>
          <w:color w:val="000000"/>
        </w:rPr>
      </w:pPr>
      <w:bookmarkStart w:id="1204" w:name="_Toc160536950"/>
      <w:r w:rsidRPr="00EF535A">
        <w:rPr>
          <w:b/>
          <w:bCs/>
          <w:color w:val="000000"/>
        </w:rPr>
        <w:t>2.        0/45 mm,</w:t>
      </w:r>
      <w:bookmarkEnd w:id="1204"/>
    </w:p>
    <w:p w:rsidR="0034055A" w:rsidRPr="00EF535A" w:rsidRDefault="0034055A" w:rsidP="00196DDD">
      <w:pPr>
        <w:rPr>
          <w:b/>
          <w:bCs/>
          <w:color w:val="000000"/>
        </w:rPr>
      </w:pPr>
      <w:bookmarkStart w:id="1205" w:name="_Toc160536951"/>
      <w:r w:rsidRPr="00EF535A">
        <w:rPr>
          <w:b/>
          <w:bCs/>
          <w:color w:val="000000"/>
        </w:rPr>
        <w:t>3.        0/63 mm.</w:t>
      </w:r>
      <w:bookmarkEnd w:id="1205"/>
    </w:p>
    <w:p w:rsidR="0034055A" w:rsidRPr="00EF535A" w:rsidRDefault="0034055A" w:rsidP="00196DDD">
      <w:pPr>
        <w:rPr>
          <w:b/>
          <w:bCs/>
          <w:color w:val="000000"/>
        </w:rPr>
      </w:pPr>
      <w:r w:rsidRPr="00EF535A">
        <w:rPr>
          <w:b/>
          <w:bCs/>
          <w:color w:val="000000"/>
        </w:rPr>
        <w:t xml:space="preserve">            </w:t>
      </w:r>
      <w:bookmarkStart w:id="1206" w:name="_Toc160536952"/>
      <w:r w:rsidRPr="00EF535A">
        <w:rPr>
          <w:b/>
          <w:bCs/>
          <w:color w:val="000000"/>
        </w:rPr>
        <w:t>Wymagania wobec mieszanek przeznaczonych do podbudowy zasadniczej, podane w tabeli 4, odnośnie wrażliwości na mróz mieszanek kruszyw, dotyczą badania materiału po pięciokrotnym zagęszczeniu w aparacie </w:t>
      </w:r>
      <w:r w:rsidRPr="00EF535A">
        <w:rPr>
          <w:rStyle w:val="spelle"/>
          <w:rFonts w:ascii="Times New Roman" w:hAnsi="Times New Roman" w:cs="Times New Roman"/>
          <w:b/>
          <w:bCs/>
          <w:color w:val="000000"/>
          <w:szCs w:val="20"/>
        </w:rPr>
        <w:t>Proctora</w:t>
      </w:r>
      <w:r w:rsidRPr="00EF535A">
        <w:rPr>
          <w:b/>
          <w:bCs/>
          <w:color w:val="000000"/>
        </w:rPr>
        <w:t> według PN-EN 13286-2 [18].</w:t>
      </w:r>
      <w:bookmarkEnd w:id="1206"/>
    </w:p>
    <w:p w:rsidR="0034055A" w:rsidRPr="00EF535A" w:rsidRDefault="0034055A" w:rsidP="00196DDD">
      <w:pPr>
        <w:rPr>
          <w:b/>
          <w:bCs/>
          <w:color w:val="000000"/>
        </w:rPr>
      </w:pPr>
      <w:bookmarkStart w:id="1207" w:name="_Toc160536953"/>
      <w:r w:rsidRPr="00EF535A">
        <w:rPr>
          <w:b/>
          <w:bCs/>
          <w:color w:val="000000"/>
        </w:rPr>
        <w:t xml:space="preserve">Zawartość pyłów w mieszankach kruszyw do warstwy podbudowy zasadniczej, określana wg PN-EN 933-1 [5], powinna być zgodna z wymaganiami tabeli 4. W przypadku słabych kruszyw, zawartość pyłów w mieszance kruszyw należy również badać i deklarować, po </w:t>
      </w:r>
      <w:r w:rsidRPr="00EF535A">
        <w:rPr>
          <w:b/>
          <w:bCs/>
          <w:color w:val="000000"/>
        </w:rPr>
        <w:lastRenderedPageBreak/>
        <w:t>pięciokrotnym zagęszczeniu metodą </w:t>
      </w:r>
      <w:r w:rsidRPr="00EF535A">
        <w:rPr>
          <w:rStyle w:val="spelle"/>
          <w:rFonts w:ascii="Times New Roman" w:hAnsi="Times New Roman" w:cs="Times New Roman"/>
          <w:b/>
          <w:bCs/>
          <w:color w:val="000000"/>
          <w:szCs w:val="20"/>
        </w:rPr>
        <w:t>Proctora</w:t>
      </w:r>
      <w:r w:rsidRPr="00EF535A">
        <w:rPr>
          <w:b/>
          <w:bCs/>
          <w:color w:val="000000"/>
        </w:rPr>
        <w:t>. Zawartość pyłów w takiej mieszance po pięciokrotnym zagęszczeniu metodą </w:t>
      </w:r>
      <w:r w:rsidRPr="00EF535A">
        <w:rPr>
          <w:rStyle w:val="spelle"/>
          <w:rFonts w:ascii="Times New Roman" w:hAnsi="Times New Roman" w:cs="Times New Roman"/>
          <w:b/>
          <w:bCs/>
          <w:color w:val="000000"/>
          <w:szCs w:val="20"/>
        </w:rPr>
        <w:t>Proctora</w:t>
      </w:r>
      <w:r w:rsidRPr="00EF535A">
        <w:rPr>
          <w:b/>
          <w:bCs/>
          <w:color w:val="000000"/>
        </w:rPr>
        <w:t> powinna również spełniać wymagania podane w tabeli 4. Nie określa się wymagania wobec minimalnej zawartości pyłów &lt; 0,063 mm w mieszankach kruszyw do warstwy podbudowy zasadniczej.</w:t>
      </w:r>
      <w:bookmarkEnd w:id="1207"/>
    </w:p>
    <w:p w:rsidR="0034055A" w:rsidRPr="00EF535A" w:rsidRDefault="0034055A" w:rsidP="00196DDD">
      <w:pPr>
        <w:rPr>
          <w:b/>
          <w:bCs/>
          <w:color w:val="000000"/>
        </w:rPr>
      </w:pPr>
      <w:bookmarkStart w:id="1208" w:name="_Toc160536954"/>
      <w:r w:rsidRPr="00EF535A">
        <w:rPr>
          <w:b/>
          <w:bCs/>
          <w:color w:val="000000"/>
        </w:rPr>
        <w:t>Zawartość nadziarna w mieszankach kruszyw, określana według PN-EN 933-1 [5] powinna spełniać wymagania podane w tabeli 4. W przypadku słabych kruszyw decyduje zawartość nadziarna w mieszance kruszyw po pięciokrotnym zagęszczeniu metodą </w:t>
      </w:r>
      <w:r w:rsidRPr="00EF535A">
        <w:rPr>
          <w:rStyle w:val="spelle"/>
          <w:rFonts w:ascii="Times New Roman" w:hAnsi="Times New Roman" w:cs="Times New Roman"/>
          <w:b/>
          <w:bCs/>
          <w:color w:val="000000"/>
          <w:szCs w:val="20"/>
        </w:rPr>
        <w:t>Proctora</w:t>
      </w:r>
      <w:r w:rsidRPr="00EF535A">
        <w:rPr>
          <w:b/>
          <w:bCs/>
          <w:color w:val="000000"/>
        </w:rPr>
        <w:t>.</w:t>
      </w:r>
      <w:bookmarkEnd w:id="1208"/>
    </w:p>
    <w:p w:rsidR="0034055A" w:rsidRPr="00EF535A" w:rsidRDefault="0034055A" w:rsidP="00196DDD">
      <w:pPr>
        <w:rPr>
          <w:b/>
          <w:bCs/>
          <w:color w:val="000000"/>
        </w:rPr>
      </w:pPr>
      <w:bookmarkStart w:id="1209" w:name="_Toc160536955"/>
      <w:r w:rsidRPr="00EF535A">
        <w:rPr>
          <w:b/>
          <w:bCs/>
          <w:color w:val="000000"/>
        </w:rPr>
        <w:t>Uziarnienie mieszanek kruszyw o wymiarach ziaren D od 0 do 63 mm należy określić według PN-EN 933-1 [5]. Krzywe uziarnienia mieszanki kruszyw powinny zawierać się w obszarze między krzywymi granicznymi uziarnienia przedstawionymi na rysunkach 1÷3, odpowiednio dla każdego rodzaju mieszanki. Na rysunkach 1÷3 pokazano również liniami przerywanymi obszar uziarnienia SDV, w którym powinna się mieścić krzywa uziarnienia mieszanki „S” deklarowana przez dostawcę/producenta.</w:t>
      </w:r>
      <w:bookmarkEnd w:id="1209"/>
    </w:p>
    <w:p w:rsidR="0034055A" w:rsidRPr="00EF535A" w:rsidRDefault="0034055A" w:rsidP="00196DDD">
      <w:pPr>
        <w:rPr>
          <w:b/>
          <w:bCs/>
          <w:color w:val="000000"/>
        </w:rPr>
      </w:pPr>
      <w:bookmarkStart w:id="1210" w:name="_Toc160536956"/>
      <w:r w:rsidRPr="00EF535A">
        <w:rPr>
          <w:b/>
          <w:bCs/>
          <w:color w:val="000000"/>
        </w:rPr>
        <w:t>W przypadku słabych kruszyw uziarnienie mieszanki kruszyw należy również badać i deklarować po pięciokrotnym zagęszczeniu metodą </w:t>
      </w:r>
      <w:r w:rsidRPr="00EF535A">
        <w:rPr>
          <w:rStyle w:val="spelle"/>
          <w:rFonts w:ascii="Times New Roman" w:hAnsi="Times New Roman" w:cs="Times New Roman"/>
          <w:b/>
          <w:bCs/>
          <w:color w:val="000000"/>
          <w:szCs w:val="20"/>
        </w:rPr>
        <w:t>Proctora</w:t>
      </w:r>
      <w:r w:rsidRPr="00EF535A">
        <w:rPr>
          <w:b/>
          <w:bCs/>
          <w:color w:val="000000"/>
        </w:rPr>
        <w:t>. Kryterium przydatności takiej mieszanki, pod względem uziarnienia, jest spełnione, jeżeli uziarnienie mieszanki po pięciokrotnym zagęszczeniu metodą </w:t>
      </w:r>
      <w:r w:rsidRPr="00EF535A">
        <w:rPr>
          <w:rStyle w:val="spelle"/>
          <w:rFonts w:ascii="Times New Roman" w:hAnsi="Times New Roman" w:cs="Times New Roman"/>
          <w:b/>
          <w:bCs/>
          <w:color w:val="000000"/>
          <w:szCs w:val="20"/>
        </w:rPr>
        <w:t>Proctora</w:t>
      </w:r>
      <w:r w:rsidRPr="00EF535A">
        <w:rPr>
          <w:b/>
          <w:bCs/>
          <w:color w:val="000000"/>
        </w:rPr>
        <w:t> mieści się w krzywych granicznych podanych na odpowiednich rysunkach 1÷3.</w:t>
      </w:r>
      <w:bookmarkEnd w:id="1210"/>
      <w:r w:rsidRPr="00EF535A">
        <w:rPr>
          <w:b/>
          <w:bCs/>
          <w:color w:val="000000"/>
        </w:rPr>
        <w:t> </w:t>
      </w:r>
    </w:p>
    <w:p w:rsidR="0034055A" w:rsidRPr="007078D3" w:rsidRDefault="0034055A" w:rsidP="00196DDD">
      <w:pPr>
        <w:rPr>
          <w:color w:val="000000"/>
        </w:rPr>
      </w:pPr>
      <w:bookmarkStart w:id="1211" w:name="_Toc160536957"/>
      <w:r w:rsidRPr="007078D3">
        <w:rPr>
          <w:noProof/>
          <w:color w:val="000000"/>
          <w:lang w:eastAsia="pl-PL"/>
        </w:rPr>
        <w:drawing>
          <wp:inline distT="0" distB="0" distL="0" distR="0">
            <wp:extent cx="5509895" cy="2624455"/>
            <wp:effectExtent l="0" t="0" r="0" b="0"/>
            <wp:docPr id="1558717146"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09895" cy="2624455"/>
                    </a:xfrm>
                    <a:prstGeom prst="rect">
                      <a:avLst/>
                    </a:prstGeom>
                    <a:noFill/>
                    <a:ln>
                      <a:noFill/>
                    </a:ln>
                  </pic:spPr>
                </pic:pic>
              </a:graphicData>
            </a:graphic>
          </wp:inline>
        </w:drawing>
      </w:r>
      <w:bookmarkEnd w:id="1211"/>
    </w:p>
    <w:p w:rsidR="0034055A" w:rsidRPr="007078D3" w:rsidRDefault="0034055A" w:rsidP="00196DDD">
      <w:pPr>
        <w:rPr>
          <w:color w:val="000000"/>
        </w:rPr>
      </w:pPr>
      <w:bookmarkStart w:id="1212" w:name="_Toc160536958"/>
      <w:r w:rsidRPr="007078D3">
        <w:rPr>
          <w:color w:val="000000"/>
        </w:rPr>
        <w:t>Rys. 1.   Krzywe graniczne uziarnienia mieszanki kruszywa niezwiązanego 0/31,5 mm do warstw podbudowy zasadniczej</w:t>
      </w:r>
      <w:bookmarkEnd w:id="1212"/>
    </w:p>
    <w:p w:rsidR="0034055A" w:rsidRPr="007078D3" w:rsidRDefault="0034055A" w:rsidP="00196DDD">
      <w:pPr>
        <w:rPr>
          <w:color w:val="000000"/>
        </w:rPr>
      </w:pPr>
      <w:bookmarkStart w:id="1213" w:name="_Toc160536959"/>
      <w:r w:rsidRPr="007078D3">
        <w:rPr>
          <w:noProof/>
          <w:color w:val="000000"/>
          <w:lang w:eastAsia="pl-PL"/>
        </w:rPr>
        <w:drawing>
          <wp:inline distT="0" distB="0" distL="0" distR="0">
            <wp:extent cx="5557520" cy="2897505"/>
            <wp:effectExtent l="0" t="0" r="0" b="0"/>
            <wp:docPr id="575333772"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57520" cy="2897505"/>
                    </a:xfrm>
                    <a:prstGeom prst="rect">
                      <a:avLst/>
                    </a:prstGeom>
                    <a:noFill/>
                    <a:ln>
                      <a:noFill/>
                    </a:ln>
                  </pic:spPr>
                </pic:pic>
              </a:graphicData>
            </a:graphic>
          </wp:inline>
        </w:drawing>
      </w:r>
      <w:bookmarkEnd w:id="1213"/>
    </w:p>
    <w:p w:rsidR="0034055A" w:rsidRPr="007078D3" w:rsidRDefault="0034055A" w:rsidP="00196DDD">
      <w:pPr>
        <w:rPr>
          <w:color w:val="000000"/>
        </w:rPr>
      </w:pPr>
      <w:bookmarkStart w:id="1214" w:name="_Toc160536960"/>
      <w:r w:rsidRPr="007078D3">
        <w:rPr>
          <w:color w:val="000000"/>
        </w:rPr>
        <w:t>Rys. 2.   Krzywe graniczne uziarnienia mieszanki kruszywa niezwiązanego 0/45 mm do warstw podbudowy zasadniczej</w:t>
      </w:r>
      <w:bookmarkEnd w:id="1214"/>
    </w:p>
    <w:p w:rsidR="0034055A" w:rsidRPr="007078D3" w:rsidRDefault="0034055A" w:rsidP="00196DDD">
      <w:pPr>
        <w:rPr>
          <w:color w:val="000000"/>
        </w:rPr>
      </w:pPr>
      <w:r w:rsidRPr="007078D3">
        <w:rPr>
          <w:noProof/>
          <w:color w:val="000000"/>
          <w:lang w:eastAsia="pl-PL"/>
        </w:rPr>
        <w:lastRenderedPageBreak/>
        <w:drawing>
          <wp:inline distT="0" distB="0" distL="0" distR="0">
            <wp:extent cx="5569585" cy="2672080"/>
            <wp:effectExtent l="0" t="0" r="0" b="0"/>
            <wp:docPr id="2368731"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69585" cy="2672080"/>
                    </a:xfrm>
                    <a:prstGeom prst="rect">
                      <a:avLst/>
                    </a:prstGeom>
                    <a:noFill/>
                    <a:ln>
                      <a:noFill/>
                    </a:ln>
                  </pic:spPr>
                </pic:pic>
              </a:graphicData>
            </a:graphic>
          </wp:inline>
        </w:drawing>
      </w:r>
    </w:p>
    <w:p w:rsidR="0034055A" w:rsidRPr="007078D3" w:rsidRDefault="0034055A" w:rsidP="00196DDD">
      <w:pPr>
        <w:rPr>
          <w:color w:val="000000"/>
        </w:rPr>
      </w:pPr>
      <w:bookmarkStart w:id="1215" w:name="_Toc160536961"/>
      <w:r w:rsidRPr="007078D3">
        <w:rPr>
          <w:color w:val="000000"/>
        </w:rPr>
        <w:t>Rys. 3.   Krzywe graniczne uziarnienia mieszanki kruszywa niezwiązanego 0/63 mm  do warstw podbudowy zasadniczej</w:t>
      </w:r>
      <w:bookmarkEnd w:id="1215"/>
    </w:p>
    <w:p w:rsidR="0034055A" w:rsidRPr="007078D3" w:rsidRDefault="0034055A" w:rsidP="00196DDD">
      <w:pPr>
        <w:rPr>
          <w:color w:val="000000"/>
        </w:rPr>
      </w:pPr>
      <w:r w:rsidRPr="007078D3">
        <w:rPr>
          <w:color w:val="000000"/>
        </w:rPr>
        <w:t>Oprócz wymagań podanych na rysunkach od 1 do 3, wymaga się aby 90% uziarnień mieszanek zbadanych w ramach ZKP w okresie 6 miesięcy spełniało wymagania kategorii podanych w tabelach 2 i 3, aby zapewnić jednorodność i ciągłość uziarnienia mieszanek.</w:t>
      </w:r>
    </w:p>
    <w:p w:rsidR="0034055A" w:rsidRPr="007078D3" w:rsidRDefault="0034055A" w:rsidP="00196DDD">
      <w:pPr>
        <w:rPr>
          <w:color w:val="000000"/>
        </w:rPr>
      </w:pPr>
      <w:r w:rsidRPr="007078D3">
        <w:rPr>
          <w:color w:val="000000"/>
        </w:rPr>
        <w:t>Tabela 2. Wymagania wobec jednorodności uziarnienia na sitach kontrolnych – porównanie z deklarowaną przez producenta wartością (S). Wymagania dotyczą produkowanej i dostarczanej mieszanki. Jeśli mieszanka zawiera nadmierną zawartość ziaren słabych, wymaganie dotyczy deklarowanego przez producenta uziarnienia mieszanki po pięciokrotnym zagęszczeniu metodą </w:t>
      </w:r>
      <w:r w:rsidRPr="007078D3">
        <w:rPr>
          <w:rStyle w:val="spelle"/>
          <w:rFonts w:ascii="Times New Roman" w:hAnsi="Times New Roman" w:cs="Times New Roman"/>
          <w:color w:val="000000"/>
          <w:szCs w:val="20"/>
        </w:rPr>
        <w:t>Proctora</w:t>
      </w:r>
    </w:p>
    <w:tbl>
      <w:tblPr>
        <w:tblW w:w="0" w:type="auto"/>
        <w:shd w:val="clear" w:color="auto" w:fill="EAEAEA"/>
        <w:tblCellMar>
          <w:left w:w="0" w:type="dxa"/>
          <w:right w:w="0" w:type="dxa"/>
        </w:tblCellMar>
        <w:tblLook w:val="04A0"/>
      </w:tblPr>
      <w:tblGrid>
        <w:gridCol w:w="1463"/>
        <w:gridCol w:w="754"/>
        <w:gridCol w:w="754"/>
        <w:gridCol w:w="754"/>
        <w:gridCol w:w="754"/>
        <w:gridCol w:w="754"/>
        <w:gridCol w:w="754"/>
        <w:gridCol w:w="754"/>
        <w:gridCol w:w="754"/>
        <w:gridCol w:w="754"/>
        <w:gridCol w:w="754"/>
      </w:tblGrid>
      <w:tr w:rsidR="0034055A" w:rsidRPr="007078D3" w:rsidTr="0034055A">
        <w:tc>
          <w:tcPr>
            <w:tcW w:w="1463" w:type="dxa"/>
            <w:vMerge w:val="restart"/>
            <w:tcBorders>
              <w:top w:val="single" w:sz="8" w:space="0" w:color="auto"/>
              <w:left w:val="single" w:sz="8" w:space="0" w:color="auto"/>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Mieszanka niezwiązana, mm</w:t>
            </w:r>
          </w:p>
        </w:tc>
        <w:tc>
          <w:tcPr>
            <w:tcW w:w="7540" w:type="dxa"/>
            <w:gridSpan w:val="10"/>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Porównanie z deklarowaną przez producenta wartością (S)</w:t>
            </w:r>
          </w:p>
          <w:p w:rsidR="0034055A" w:rsidRPr="007078D3" w:rsidRDefault="0034055A" w:rsidP="00196DDD">
            <w:r w:rsidRPr="007078D3">
              <w:t>Tolerancje przesiewu przez sito (mm), % (m/m)</w:t>
            </w:r>
          </w:p>
        </w:tc>
      </w:tr>
      <w:tr w:rsidR="0034055A" w:rsidRPr="007078D3" w:rsidTr="0034055A">
        <w:tc>
          <w:tcPr>
            <w:tcW w:w="0" w:type="auto"/>
            <w:vMerge/>
            <w:tcBorders>
              <w:top w:val="single" w:sz="8" w:space="0" w:color="auto"/>
              <w:left w:val="single" w:sz="8" w:space="0" w:color="auto"/>
              <w:bottom w:val="double" w:sz="4" w:space="0" w:color="auto"/>
              <w:right w:val="single" w:sz="8" w:space="0" w:color="auto"/>
            </w:tcBorders>
            <w:shd w:val="clear" w:color="auto" w:fill="EAEAEA"/>
            <w:vAlign w:val="center"/>
            <w:hideMark/>
          </w:tcPr>
          <w:p w:rsidR="0034055A" w:rsidRPr="007078D3" w:rsidRDefault="0034055A" w:rsidP="00196DDD"/>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0,5</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5,6</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8</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11,2</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16</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22,4</w:t>
            </w:r>
          </w:p>
        </w:tc>
        <w:tc>
          <w:tcPr>
            <w:tcW w:w="754"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31,5</w:t>
            </w:r>
          </w:p>
        </w:tc>
      </w:tr>
      <w:tr w:rsidR="0034055A" w:rsidRPr="007078D3" w:rsidTr="0034055A">
        <w:tc>
          <w:tcPr>
            <w:tcW w:w="146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0/31,5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7</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w:t>
            </w:r>
          </w:p>
        </w:tc>
      </w:tr>
      <w:tr w:rsidR="0034055A" w:rsidRPr="007078D3" w:rsidTr="0034055A">
        <w:tc>
          <w:tcPr>
            <w:tcW w:w="146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0/45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7</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w:t>
            </w:r>
          </w:p>
        </w:tc>
      </w:tr>
      <w:tr w:rsidR="0034055A" w:rsidRPr="007078D3" w:rsidTr="0034055A">
        <w:tc>
          <w:tcPr>
            <w:tcW w:w="146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0/63</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5</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7</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75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 8</w:t>
            </w:r>
          </w:p>
        </w:tc>
      </w:tr>
    </w:tbl>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color w:val="000000"/>
        </w:rPr>
        <w:t>            Krzywa uziarnienia (S) deklarowana przez producenta mieszanek powinna nie tylko mieścić się w odpowiednich krzywych uziarnienia (rys. 1÷3) ograniczonych przerywanymi liniami (SDV) z uwzględnieniem dopuszczalnych tolerancji podanych w tabeli 2, ale powinna spełniać także wymagania ciągłości uziarnienia zawarte w tabeli 3.</w:t>
      </w:r>
    </w:p>
    <w:p w:rsidR="0034055A" w:rsidRPr="007078D3" w:rsidRDefault="0034055A" w:rsidP="00196DDD">
      <w:pPr>
        <w:rPr>
          <w:color w:val="000000"/>
        </w:rPr>
      </w:pPr>
      <w:r w:rsidRPr="007078D3">
        <w:rPr>
          <w:color w:val="000000"/>
        </w:rPr>
        <w:t>Tabela 3. Wymagania wobec ciągłości uziarnienia na sitach kontrolnych – różnice w przesiewach podczas badań kontrolnych produkowanych mieszanek</w:t>
      </w:r>
    </w:p>
    <w:tbl>
      <w:tblPr>
        <w:tblW w:w="8988" w:type="dxa"/>
        <w:shd w:val="clear" w:color="auto" w:fill="EAEAEA"/>
        <w:tblCellMar>
          <w:left w:w="0" w:type="dxa"/>
          <w:right w:w="0" w:type="dxa"/>
        </w:tblCellMar>
        <w:tblLook w:val="04A0"/>
      </w:tblPr>
      <w:tblGrid>
        <w:gridCol w:w="673"/>
        <w:gridCol w:w="526"/>
        <w:gridCol w:w="526"/>
        <w:gridCol w:w="526"/>
        <w:gridCol w:w="526"/>
        <w:gridCol w:w="526"/>
        <w:gridCol w:w="526"/>
        <w:gridCol w:w="526"/>
        <w:gridCol w:w="526"/>
        <w:gridCol w:w="526"/>
        <w:gridCol w:w="526"/>
        <w:gridCol w:w="526"/>
        <w:gridCol w:w="526"/>
        <w:gridCol w:w="526"/>
        <w:gridCol w:w="526"/>
        <w:gridCol w:w="526"/>
        <w:gridCol w:w="526"/>
      </w:tblGrid>
      <w:tr w:rsidR="0034055A" w:rsidRPr="007078D3" w:rsidTr="0034055A">
        <w:tc>
          <w:tcPr>
            <w:tcW w:w="703" w:type="dxa"/>
            <w:vMerge w:val="restart"/>
            <w:tcBorders>
              <w:top w:val="single" w:sz="8" w:space="0" w:color="auto"/>
              <w:left w:val="single" w:sz="8" w:space="0" w:color="auto"/>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Mie-</w:t>
            </w:r>
            <w:r w:rsidRPr="007078D3">
              <w:rPr>
                <w:rStyle w:val="spelle"/>
                <w:rFonts w:ascii="Times New Roman" w:hAnsi="Times New Roman" w:cs="Times New Roman"/>
                <w:szCs w:val="20"/>
              </w:rPr>
              <w:t>szan</w:t>
            </w:r>
            <w:r w:rsidRPr="007078D3">
              <w:t>-ka, mm</w:t>
            </w:r>
          </w:p>
        </w:tc>
        <w:tc>
          <w:tcPr>
            <w:tcW w:w="8285" w:type="dxa"/>
            <w:gridSpan w:val="16"/>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Minimalna i maksymalna zawartość frakcji w mieszankach;</w:t>
            </w:r>
          </w:p>
          <w:p w:rsidR="0034055A" w:rsidRPr="007078D3" w:rsidRDefault="0034055A" w:rsidP="00196DDD">
            <w:r w:rsidRPr="007078D3">
              <w:t>[różnice przesiewów w % (m/m) przez sito (mm)]</w:t>
            </w:r>
          </w:p>
        </w:tc>
      </w:tr>
      <w:tr w:rsidR="0034055A" w:rsidRPr="007078D3" w:rsidTr="0034055A">
        <w:tc>
          <w:tcPr>
            <w:tcW w:w="0" w:type="auto"/>
            <w:vMerge/>
            <w:tcBorders>
              <w:top w:val="single" w:sz="8" w:space="0" w:color="auto"/>
              <w:left w:val="single" w:sz="8" w:space="0" w:color="auto"/>
              <w:bottom w:val="double" w:sz="4" w:space="0" w:color="auto"/>
              <w:right w:val="single" w:sz="8" w:space="0" w:color="auto"/>
            </w:tcBorders>
            <w:shd w:val="clear" w:color="auto" w:fill="EAEAEA"/>
            <w:vAlign w:val="center"/>
            <w:hideMark/>
          </w:tcPr>
          <w:p w:rsidR="0034055A" w:rsidRPr="007078D3" w:rsidRDefault="0034055A" w:rsidP="00196DDD"/>
        </w:tc>
        <w:tc>
          <w:tcPr>
            <w:tcW w:w="997"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1/2</w:t>
            </w:r>
          </w:p>
        </w:tc>
        <w:tc>
          <w:tcPr>
            <w:tcW w:w="1030"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2/4</w:t>
            </w:r>
          </w:p>
        </w:tc>
        <w:tc>
          <w:tcPr>
            <w:tcW w:w="997"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2/5,6</w:t>
            </w:r>
          </w:p>
        </w:tc>
        <w:tc>
          <w:tcPr>
            <w:tcW w:w="997"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4/8</w:t>
            </w:r>
          </w:p>
        </w:tc>
        <w:tc>
          <w:tcPr>
            <w:tcW w:w="1071"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5,6/11,2</w:t>
            </w:r>
          </w:p>
        </w:tc>
        <w:tc>
          <w:tcPr>
            <w:tcW w:w="1071"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8/16</w:t>
            </w:r>
          </w:p>
        </w:tc>
        <w:tc>
          <w:tcPr>
            <w:tcW w:w="1123"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11,2/22,4</w:t>
            </w:r>
          </w:p>
        </w:tc>
        <w:tc>
          <w:tcPr>
            <w:tcW w:w="999" w:type="dxa"/>
            <w:gridSpan w:val="2"/>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16/31,5</w:t>
            </w:r>
          </w:p>
        </w:tc>
      </w:tr>
      <w:tr w:rsidR="0034055A" w:rsidRPr="007078D3" w:rsidTr="0034055A">
        <w:tc>
          <w:tcPr>
            <w:tcW w:w="0" w:type="auto"/>
            <w:vMerge/>
            <w:tcBorders>
              <w:top w:val="single" w:sz="8" w:space="0" w:color="auto"/>
              <w:left w:val="single" w:sz="8" w:space="0" w:color="auto"/>
              <w:bottom w:val="double" w:sz="4" w:space="0" w:color="auto"/>
              <w:right w:val="single" w:sz="8" w:space="0" w:color="auto"/>
            </w:tcBorders>
            <w:shd w:val="clear" w:color="auto" w:fill="EAEAEA"/>
            <w:vAlign w:val="center"/>
            <w:hideMark/>
          </w:tcPr>
          <w:p w:rsidR="0034055A" w:rsidRPr="007078D3" w:rsidRDefault="0034055A" w:rsidP="00196DDD"/>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492"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21"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509"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492"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492"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566"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566"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45"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578"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c>
          <w:tcPr>
            <w:tcW w:w="507"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min.</w:t>
            </w:r>
          </w:p>
        </w:tc>
        <w:tc>
          <w:tcPr>
            <w:tcW w:w="492" w:type="dxa"/>
            <w:tcBorders>
              <w:top w:val="nil"/>
              <w:left w:val="nil"/>
              <w:bottom w:val="double" w:sz="4"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max</w:t>
            </w:r>
          </w:p>
        </w:tc>
      </w:tr>
      <w:tr w:rsidR="0034055A" w:rsidRPr="007078D3" w:rsidTr="0034055A">
        <w:tc>
          <w:tcPr>
            <w:tcW w:w="70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0/31,5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15</w:t>
            </w:r>
          </w:p>
        </w:tc>
        <w:tc>
          <w:tcPr>
            <w:tcW w:w="52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7</w:t>
            </w:r>
          </w:p>
        </w:tc>
        <w:tc>
          <w:tcPr>
            <w:tcW w:w="5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20</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4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78"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r>
      <w:tr w:rsidR="0034055A" w:rsidRPr="007078D3" w:rsidTr="0034055A">
        <w:tc>
          <w:tcPr>
            <w:tcW w:w="70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0/45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15</w:t>
            </w:r>
          </w:p>
        </w:tc>
        <w:tc>
          <w:tcPr>
            <w:tcW w:w="52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7</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20</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4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578"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r>
      <w:tr w:rsidR="0034055A" w:rsidRPr="007078D3" w:rsidTr="0034055A">
        <w:tc>
          <w:tcPr>
            <w:tcW w:w="703"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0/63</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21"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4</w:t>
            </w:r>
          </w:p>
        </w:tc>
        <w:tc>
          <w:tcPr>
            <w:tcW w:w="5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15</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7</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20</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56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c>
          <w:tcPr>
            <w:tcW w:w="545"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78"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w:t>
            </w:r>
          </w:p>
        </w:tc>
        <w:tc>
          <w:tcPr>
            <w:tcW w:w="507"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10</w:t>
            </w:r>
          </w:p>
        </w:tc>
        <w:tc>
          <w:tcPr>
            <w:tcW w:w="49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7078D3" w:rsidRDefault="0034055A" w:rsidP="00196DDD">
            <w:r w:rsidRPr="007078D3">
              <w:t>25</w:t>
            </w:r>
          </w:p>
        </w:tc>
      </w:tr>
    </w:tbl>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color w:val="000000"/>
        </w:rPr>
        <w:t>            Mieszanki kruszyw stosowane do warstw podbudów zasadniczych powinny spełniać wymagania wg tabeli 4. Wymagania wobec mieszanek przeznaczonych do warstw podbudowy zasadniczej odnośnie wrażliwości na mróz (wskaźnik SE), dotyczą badania materiału po pięciokrotnym zagęszczeniu metoda </w:t>
      </w:r>
      <w:r w:rsidRPr="007078D3">
        <w:rPr>
          <w:rStyle w:val="spelle"/>
          <w:rFonts w:ascii="Times New Roman" w:hAnsi="Times New Roman" w:cs="Times New Roman"/>
          <w:color w:val="000000"/>
          <w:szCs w:val="20"/>
        </w:rPr>
        <w:t>Proctora</w:t>
      </w:r>
      <w:r w:rsidRPr="007078D3">
        <w:rPr>
          <w:color w:val="000000"/>
        </w:rPr>
        <w:t> według PN-EN 13286-2 [18]. Nie stawia się wymagań wobec wodoprzepuszczalności zagęszczonej mieszanki niezwiązanej do podbudowy zasadniczej, o ile szczegółowe rozwiązania nie przewidują tego.</w:t>
      </w:r>
    </w:p>
    <w:p w:rsidR="0034055A" w:rsidRPr="007078D3" w:rsidRDefault="0034055A" w:rsidP="00196DDD">
      <w:pPr>
        <w:rPr>
          <w:color w:val="000000"/>
        </w:rPr>
      </w:pPr>
      <w:r w:rsidRPr="007078D3">
        <w:rPr>
          <w:color w:val="000000"/>
        </w:rPr>
        <w:t>            Zawartość wody w mieszankach kruszyw powinna odpowiadać wymaganej zawartości wody w trakcie wbudowywania i zagęszczania określonej metodą </w:t>
      </w:r>
      <w:r w:rsidRPr="007078D3">
        <w:rPr>
          <w:rStyle w:val="spelle"/>
          <w:rFonts w:ascii="Times New Roman" w:hAnsi="Times New Roman" w:cs="Times New Roman"/>
          <w:color w:val="000000"/>
          <w:szCs w:val="20"/>
        </w:rPr>
        <w:t>Proctora</w:t>
      </w:r>
      <w:r w:rsidRPr="007078D3">
        <w:rPr>
          <w:color w:val="000000"/>
        </w:rPr>
        <w:t>  według  PN-EN 13286-2 [18], w granicach podanych w tabeli 4.</w:t>
      </w:r>
    </w:p>
    <w:p w:rsidR="0034055A" w:rsidRPr="007078D3" w:rsidRDefault="0034055A" w:rsidP="00196DDD">
      <w:pPr>
        <w:rPr>
          <w:color w:val="000000"/>
        </w:rPr>
      </w:pPr>
      <w:r w:rsidRPr="007078D3">
        <w:rPr>
          <w:color w:val="000000"/>
        </w:rPr>
        <w:t>            Badanie CBR mieszanek do podbudowy zasadniczej należy wykonać na mieszance zagęszczonej metodą </w:t>
      </w:r>
      <w:r w:rsidRPr="007078D3">
        <w:rPr>
          <w:rStyle w:val="spelle"/>
          <w:rFonts w:ascii="Times New Roman" w:hAnsi="Times New Roman" w:cs="Times New Roman"/>
          <w:color w:val="000000"/>
          <w:szCs w:val="20"/>
        </w:rPr>
        <w:t>Proctora</w:t>
      </w:r>
      <w:r w:rsidRPr="007078D3">
        <w:rPr>
          <w:color w:val="000000"/>
        </w:rPr>
        <w:t>  do wskaźnika zagęszczenia </w:t>
      </w:r>
      <w:r w:rsidRPr="007078D3">
        <w:rPr>
          <w:rStyle w:val="spelle"/>
          <w:rFonts w:ascii="Times New Roman" w:hAnsi="Times New Roman" w:cs="Times New Roman"/>
          <w:color w:val="000000"/>
          <w:szCs w:val="20"/>
        </w:rPr>
        <w:t>Is</w:t>
      </w:r>
      <w:r w:rsidRPr="007078D3">
        <w:rPr>
          <w:color w:val="000000"/>
        </w:rPr>
        <w:t> = 1,0 i po 96 godzinach przechowywania jej w wodzie. CBR należy oznaczyć wg PN-EN 13286-47 [19], a wymaganie przyjąć wg tabeli 4.</w:t>
      </w:r>
    </w:p>
    <w:p w:rsidR="0034055A" w:rsidRPr="007078D3" w:rsidRDefault="0034055A" w:rsidP="00196DDD">
      <w:pPr>
        <w:rPr>
          <w:color w:val="000000"/>
        </w:rPr>
      </w:pPr>
      <w:r w:rsidRPr="007078D3">
        <w:rPr>
          <w:color w:val="000000"/>
        </w:rPr>
        <w:t>Istotne cechy środowiskowe</w:t>
      </w:r>
    </w:p>
    <w:p w:rsidR="0034055A" w:rsidRPr="007078D3" w:rsidRDefault="0034055A" w:rsidP="00196DDD">
      <w:pPr>
        <w:rPr>
          <w:color w:val="000000"/>
        </w:rPr>
      </w:pPr>
      <w:r w:rsidRPr="007078D3">
        <w:rPr>
          <w:color w:val="000000"/>
        </w:rPr>
        <w:t>            Zgodnie z dotychczasowymi doświadczeniami, dotyczącymi stosowania w drogownictwie mieszanek z kruszyw naturalnych oraz gruntów, można je zaliczyć do wyrobów budowlanych, które nie oddziaływają szkodliwie na środowisko. Większość substancji niebezpiecznych określonych w dyrektywie Rady 76/769/EWG zazwyczaj nie występuje w takich mieszankach. W przypadku stosowania w mieszankach kruszyw w stosunku do których brak jest jeszcze ustalonych zasad, np. kruszywa z recyklingu i kruszywa z pewnych odpadów przemysłowych, zaleca się zachowanie ostrożności. Przydatność takich kruszyw, jeśli jest to wymagane, może być oceniona zgodnie z wymaganiami w miejscu ich stosowania. W przypadkach wątpliwych należy uzyskać ocenę takiej mieszanki przez właściwe jednostki.</w:t>
      </w:r>
    </w:p>
    <w:p w:rsidR="0034055A" w:rsidRPr="007078D3" w:rsidRDefault="0034055A" w:rsidP="00196DDD">
      <w:pPr>
        <w:rPr>
          <w:color w:val="000000"/>
        </w:rPr>
      </w:pPr>
      <w:r w:rsidRPr="007078D3">
        <w:rPr>
          <w:color w:val="000000"/>
        </w:rPr>
        <w:lastRenderedPageBreak/>
        <w:t>Wymagania wobec mieszanek</w:t>
      </w:r>
    </w:p>
    <w:p w:rsidR="0034055A" w:rsidRPr="007078D3" w:rsidRDefault="0034055A" w:rsidP="00196DDD">
      <w:pPr>
        <w:rPr>
          <w:color w:val="000000"/>
        </w:rPr>
      </w:pPr>
      <w:r w:rsidRPr="007078D3">
        <w:rPr>
          <w:color w:val="000000"/>
        </w:rPr>
        <w:t>            </w:t>
      </w:r>
      <w:bookmarkStart w:id="1216" w:name="_Hlk112161582"/>
      <w:r w:rsidRPr="007078D3">
        <w:rPr>
          <w:color w:val="000000"/>
        </w:rPr>
        <w:t>W tabeli 4 przedstawia się zbiorcze zestawienie wymagań wobec mieszanek kruszywa niezwiązanego w warstwie podbudowy zasadniczej.</w:t>
      </w:r>
      <w:bookmarkEnd w:id="1216"/>
    </w:p>
    <w:p w:rsidR="0034055A" w:rsidRPr="007078D3" w:rsidRDefault="0034055A" w:rsidP="00196DDD">
      <w:pPr>
        <w:rPr>
          <w:color w:val="000000"/>
        </w:rPr>
      </w:pPr>
      <w:r w:rsidRPr="007078D3">
        <w:rPr>
          <w:color w:val="000000"/>
        </w:rPr>
        <w:t>Tabela 4. Wymagania wobec  mieszanek kruszywa niezwiązanego w warstwie podbudowy zasadniczej</w:t>
      </w:r>
    </w:p>
    <w:p w:rsidR="0034055A" w:rsidRPr="007078D3" w:rsidRDefault="0034055A" w:rsidP="00196DDD">
      <w:pPr>
        <w:rPr>
          <w:color w:val="000000"/>
        </w:rPr>
      </w:pPr>
      <w:bookmarkStart w:id="1217" w:name="_Toc160536962"/>
      <w:r w:rsidRPr="007078D3">
        <w:rPr>
          <w:color w:val="000000"/>
        </w:rPr>
        <w:t>Skróty użyte w tabeli: Kat. – kategoria właściwości,   </w:t>
      </w:r>
      <w:r w:rsidRPr="007078D3">
        <w:rPr>
          <w:rStyle w:val="spelle"/>
          <w:rFonts w:ascii="Times New Roman" w:hAnsi="Times New Roman" w:cs="Times New Roman"/>
          <w:color w:val="000000"/>
          <w:szCs w:val="20"/>
        </w:rPr>
        <w:t>wsk</w:t>
      </w:r>
      <w:r w:rsidRPr="007078D3">
        <w:rPr>
          <w:color w:val="000000"/>
        </w:rPr>
        <w:t>. – wskaźnik, </w:t>
      </w:r>
      <w:r w:rsidRPr="007078D3">
        <w:rPr>
          <w:rStyle w:val="spelle"/>
          <w:rFonts w:ascii="Times New Roman" w:hAnsi="Times New Roman" w:cs="Times New Roman"/>
          <w:color w:val="000000"/>
          <w:szCs w:val="20"/>
        </w:rPr>
        <w:t>wsp</w:t>
      </w:r>
      <w:r w:rsidRPr="007078D3">
        <w:rPr>
          <w:color w:val="000000"/>
        </w:rPr>
        <w:t>. – współczynnik</w:t>
      </w:r>
      <w:bookmarkEnd w:id="1217"/>
    </w:p>
    <w:p w:rsidR="0034055A" w:rsidRPr="007078D3" w:rsidRDefault="0034055A" w:rsidP="00196DDD">
      <w:pPr>
        <w:rPr>
          <w:color w:val="000000"/>
        </w:rPr>
      </w:pPr>
      <w:r w:rsidRPr="007078D3">
        <w:rPr>
          <w:color w:val="000000"/>
        </w:rPr>
        <w:t> </w:t>
      </w:r>
    </w:p>
    <w:tbl>
      <w:tblPr>
        <w:tblW w:w="0" w:type="auto"/>
        <w:shd w:val="clear" w:color="auto" w:fill="EAEAEA"/>
        <w:tblCellMar>
          <w:left w:w="0" w:type="dxa"/>
          <w:right w:w="0" w:type="dxa"/>
        </w:tblCellMar>
        <w:tblLook w:val="04A0"/>
      </w:tblPr>
      <w:tblGrid>
        <w:gridCol w:w="3085"/>
        <w:gridCol w:w="709"/>
        <w:gridCol w:w="5194"/>
      </w:tblGrid>
      <w:tr w:rsidR="0034055A" w:rsidRPr="00EF535A" w:rsidTr="0034055A">
        <w:tc>
          <w:tcPr>
            <w:tcW w:w="3085" w:type="dxa"/>
            <w:vMerge w:val="restart"/>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sz w:val="18"/>
                <w:szCs w:val="18"/>
              </w:rPr>
            </w:pPr>
            <w:bookmarkStart w:id="1218" w:name="_Toc160536963"/>
            <w:r w:rsidRPr="00EF535A">
              <w:rPr>
                <w:bCs/>
                <w:sz w:val="18"/>
                <w:szCs w:val="18"/>
              </w:rPr>
              <w:t>Właściwość</w:t>
            </w:r>
            <w:bookmarkEnd w:id="1218"/>
          </w:p>
          <w:p w:rsidR="0034055A" w:rsidRPr="00EF535A" w:rsidRDefault="0034055A" w:rsidP="00196DDD">
            <w:pPr>
              <w:rPr>
                <w:bCs/>
                <w:sz w:val="18"/>
                <w:szCs w:val="18"/>
              </w:rPr>
            </w:pPr>
            <w:bookmarkStart w:id="1219" w:name="_Toc160536964"/>
            <w:r w:rsidRPr="00EF535A">
              <w:rPr>
                <w:bCs/>
                <w:sz w:val="18"/>
                <w:szCs w:val="18"/>
              </w:rPr>
              <w:t>kruszywa</w:t>
            </w:r>
            <w:bookmarkEnd w:id="1219"/>
          </w:p>
        </w:tc>
        <w:tc>
          <w:tcPr>
            <w:tcW w:w="5903" w:type="dxa"/>
            <w:gridSpan w:val="2"/>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20" w:name="_Toc160536965"/>
            <w:r w:rsidRPr="00EF535A">
              <w:rPr>
                <w:bCs/>
                <w:sz w:val="18"/>
                <w:szCs w:val="18"/>
              </w:rPr>
              <w:t>Wymagania wobec  mieszanek kruszywa niezwiązanego w warstwie podbudowy zasadniczej pod nawierzchnią drogi obciążonej ruchem  kategorii KR1 ÷ KR7</w:t>
            </w:r>
            <w:bookmarkEnd w:id="1220"/>
          </w:p>
        </w:tc>
      </w:tr>
      <w:tr w:rsidR="0034055A" w:rsidRPr="00EF535A" w:rsidTr="0034055A">
        <w:trPr>
          <w:trHeight w:val="476"/>
        </w:trPr>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bCs/>
                <w:sz w:val="18"/>
                <w:szCs w:val="18"/>
              </w:rPr>
            </w:pPr>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sz w:val="18"/>
                <w:szCs w:val="18"/>
              </w:rPr>
            </w:pPr>
            <w:bookmarkStart w:id="1221" w:name="_Toc160536966"/>
            <w:r w:rsidRPr="00EF535A">
              <w:rPr>
                <w:bCs/>
                <w:sz w:val="18"/>
                <w:szCs w:val="18"/>
              </w:rPr>
              <w:t>Punkt</w:t>
            </w:r>
            <w:bookmarkEnd w:id="1221"/>
          </w:p>
          <w:p w:rsidR="0034055A" w:rsidRPr="00EF535A" w:rsidRDefault="0034055A" w:rsidP="00196DDD">
            <w:pPr>
              <w:rPr>
                <w:bCs/>
                <w:sz w:val="18"/>
                <w:szCs w:val="18"/>
              </w:rPr>
            </w:pPr>
            <w:bookmarkStart w:id="1222" w:name="_Toc160536967"/>
            <w:r w:rsidRPr="00EF535A">
              <w:rPr>
                <w:bCs/>
                <w:sz w:val="18"/>
                <w:szCs w:val="18"/>
              </w:rPr>
              <w:t>PN-EN</w:t>
            </w:r>
            <w:bookmarkEnd w:id="1222"/>
          </w:p>
          <w:p w:rsidR="0034055A" w:rsidRPr="00EF535A" w:rsidRDefault="0034055A" w:rsidP="00196DDD">
            <w:pPr>
              <w:rPr>
                <w:bCs/>
                <w:sz w:val="18"/>
                <w:szCs w:val="18"/>
              </w:rPr>
            </w:pPr>
            <w:bookmarkStart w:id="1223" w:name="_Toc160536968"/>
            <w:r w:rsidRPr="00EF535A">
              <w:rPr>
                <w:bCs/>
                <w:sz w:val="18"/>
                <w:szCs w:val="18"/>
              </w:rPr>
              <w:t>13285</w:t>
            </w:r>
            <w:bookmarkEnd w:id="1223"/>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bCs/>
                <w:sz w:val="18"/>
                <w:szCs w:val="18"/>
              </w:rPr>
            </w:pPr>
            <w:bookmarkStart w:id="1224" w:name="_Toc160536969"/>
            <w:r w:rsidRPr="00EF535A">
              <w:rPr>
                <w:bCs/>
                <w:sz w:val="18"/>
                <w:szCs w:val="18"/>
              </w:rPr>
              <w:t>Wymagania</w:t>
            </w:r>
            <w:bookmarkEnd w:id="1224"/>
          </w:p>
          <w:p w:rsidR="0034055A" w:rsidRPr="00EF535A" w:rsidRDefault="0034055A" w:rsidP="00196DDD">
            <w:pPr>
              <w:rPr>
                <w:bCs/>
                <w:sz w:val="18"/>
                <w:szCs w:val="18"/>
              </w:rPr>
            </w:pPr>
            <w:r w:rsidRPr="00EF535A">
              <w:rPr>
                <w:bCs/>
                <w:sz w:val="18"/>
                <w:szCs w:val="18"/>
              </w:rPr>
              <w:t> </w:t>
            </w:r>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25" w:name="_Toc160536970"/>
            <w:r w:rsidRPr="00EF535A">
              <w:rPr>
                <w:bCs/>
                <w:sz w:val="18"/>
                <w:szCs w:val="18"/>
              </w:rPr>
              <w:t>Uziarnienie mieszanek</w:t>
            </w:r>
            <w:bookmarkEnd w:id="1225"/>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26" w:name="_Toc160536971"/>
            <w:r w:rsidRPr="00EF535A">
              <w:rPr>
                <w:bCs/>
                <w:sz w:val="18"/>
                <w:szCs w:val="18"/>
              </w:rPr>
              <w:t>4.3.1</w:t>
            </w:r>
            <w:bookmarkEnd w:id="1226"/>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bookmarkStart w:id="1227" w:name="_Toc160536972"/>
            <w:r w:rsidRPr="00EF535A">
              <w:rPr>
                <w:bCs/>
                <w:sz w:val="18"/>
                <w:szCs w:val="18"/>
              </w:rPr>
              <w:t>0/31,5; 0/45; 0/63 mm</w:t>
            </w:r>
            <w:bookmarkEnd w:id="1227"/>
          </w:p>
        </w:tc>
      </w:tr>
      <w:tr w:rsidR="0034055A" w:rsidRPr="00EF535A" w:rsidTr="0034055A">
        <w:trPr>
          <w:trHeight w:val="433"/>
        </w:trPr>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28" w:name="_Toc160536973"/>
            <w:r w:rsidRPr="00EF535A">
              <w:rPr>
                <w:bCs/>
                <w:sz w:val="18"/>
                <w:szCs w:val="18"/>
              </w:rPr>
              <w:t>Maksymalna zawartość pyłów:</w:t>
            </w:r>
            <w:bookmarkEnd w:id="1228"/>
          </w:p>
          <w:p w:rsidR="0034055A" w:rsidRPr="00EF535A" w:rsidRDefault="0034055A" w:rsidP="00196DDD">
            <w:pPr>
              <w:rPr>
                <w:bCs/>
                <w:sz w:val="18"/>
                <w:szCs w:val="18"/>
              </w:rPr>
            </w:pPr>
            <w:bookmarkStart w:id="1229" w:name="_Toc160536974"/>
            <w:r w:rsidRPr="00EF535A">
              <w:rPr>
                <w:rStyle w:val="spelle"/>
                <w:rFonts w:ascii="Times New Roman" w:hAnsi="Times New Roman" w:cs="Times New Roman"/>
                <w:bCs/>
                <w:sz w:val="18"/>
                <w:szCs w:val="18"/>
              </w:rPr>
              <w:t>Kat.UF</w:t>
            </w:r>
            <w:bookmarkEnd w:id="1229"/>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30" w:name="_Toc160536975"/>
            <w:r w:rsidRPr="00EF535A">
              <w:rPr>
                <w:bCs/>
                <w:sz w:val="18"/>
                <w:szCs w:val="18"/>
              </w:rPr>
              <w:t>4.3.2</w:t>
            </w:r>
            <w:bookmarkEnd w:id="1230"/>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31" w:name="_Toc160536976"/>
            <w:r w:rsidRPr="00EF535A">
              <w:rPr>
                <w:bCs/>
                <w:sz w:val="18"/>
                <w:szCs w:val="18"/>
              </w:rPr>
              <w:t>Kat. UF</w:t>
            </w:r>
            <w:r w:rsidRPr="00EF535A">
              <w:rPr>
                <w:bCs/>
                <w:sz w:val="18"/>
                <w:szCs w:val="18"/>
                <w:vertAlign w:val="subscript"/>
              </w:rPr>
              <w:t>9</w:t>
            </w:r>
            <w:r w:rsidRPr="00EF535A">
              <w:rPr>
                <w:bCs/>
                <w:sz w:val="18"/>
                <w:szCs w:val="18"/>
              </w:rPr>
              <w:t>  (tj. masa frakcji przechodzącej przez sito 0,063 mm powinna być ≤ 9%)</w:t>
            </w:r>
            <w:bookmarkEnd w:id="1231"/>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32" w:name="_Toc160536977"/>
            <w:r w:rsidRPr="00EF535A">
              <w:rPr>
                <w:bCs/>
                <w:sz w:val="18"/>
                <w:szCs w:val="18"/>
              </w:rPr>
              <w:t>Minimalna zawartość pyłów:</w:t>
            </w:r>
            <w:bookmarkEnd w:id="1232"/>
          </w:p>
          <w:p w:rsidR="0034055A" w:rsidRPr="00EF535A" w:rsidRDefault="0034055A" w:rsidP="00196DDD">
            <w:pPr>
              <w:rPr>
                <w:bCs/>
                <w:sz w:val="18"/>
                <w:szCs w:val="18"/>
              </w:rPr>
            </w:pPr>
            <w:bookmarkStart w:id="1233" w:name="_Toc160536978"/>
            <w:r w:rsidRPr="00EF535A">
              <w:rPr>
                <w:bCs/>
                <w:sz w:val="18"/>
                <w:szCs w:val="18"/>
              </w:rPr>
              <w:t>Kat. LF</w:t>
            </w:r>
            <w:bookmarkEnd w:id="1233"/>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34" w:name="_Toc160536979"/>
            <w:r w:rsidRPr="00EF535A">
              <w:rPr>
                <w:bCs/>
                <w:sz w:val="18"/>
                <w:szCs w:val="18"/>
              </w:rPr>
              <w:t>4.3.2</w:t>
            </w:r>
            <w:bookmarkEnd w:id="1234"/>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35" w:name="_Toc160536980"/>
            <w:r w:rsidRPr="00EF535A">
              <w:rPr>
                <w:bCs/>
                <w:sz w:val="18"/>
                <w:szCs w:val="18"/>
              </w:rPr>
              <w:t>Kat. LF</w:t>
            </w:r>
            <w:r w:rsidRPr="00EF535A">
              <w:rPr>
                <w:bCs/>
                <w:sz w:val="18"/>
                <w:szCs w:val="18"/>
                <w:vertAlign w:val="subscript"/>
              </w:rPr>
              <w:t>NR  </w:t>
            </w:r>
            <w:r w:rsidRPr="00EF535A">
              <w:rPr>
                <w:bCs/>
                <w:sz w:val="18"/>
                <w:szCs w:val="18"/>
              </w:rPr>
              <w:t>(tj. brak wymagań)</w:t>
            </w:r>
            <w:bookmarkEnd w:id="1235"/>
          </w:p>
        </w:tc>
      </w:tr>
      <w:tr w:rsidR="0034055A" w:rsidRPr="00EF535A" w:rsidTr="0034055A">
        <w:trPr>
          <w:trHeight w:val="671"/>
        </w:trPr>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36" w:name="_Toc160536981"/>
            <w:r w:rsidRPr="00EF535A">
              <w:rPr>
                <w:bCs/>
                <w:sz w:val="18"/>
                <w:szCs w:val="18"/>
              </w:rPr>
              <w:t>Zawartość nadziarna:</w:t>
            </w:r>
            <w:bookmarkEnd w:id="1236"/>
          </w:p>
          <w:p w:rsidR="0034055A" w:rsidRPr="00EF535A" w:rsidRDefault="0034055A" w:rsidP="00196DDD">
            <w:pPr>
              <w:rPr>
                <w:bCs/>
                <w:sz w:val="18"/>
                <w:szCs w:val="18"/>
              </w:rPr>
            </w:pPr>
            <w:bookmarkStart w:id="1237" w:name="_Toc160536982"/>
            <w:r w:rsidRPr="00EF535A">
              <w:rPr>
                <w:rStyle w:val="spelle"/>
                <w:rFonts w:ascii="Times New Roman" w:hAnsi="Times New Roman" w:cs="Times New Roman"/>
                <w:bCs/>
                <w:sz w:val="18"/>
                <w:szCs w:val="18"/>
              </w:rPr>
              <w:t>Kat.OC</w:t>
            </w:r>
            <w:bookmarkEnd w:id="1237"/>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38" w:name="_Toc160536983"/>
            <w:r w:rsidRPr="00EF535A">
              <w:rPr>
                <w:bCs/>
                <w:sz w:val="18"/>
                <w:szCs w:val="18"/>
              </w:rPr>
              <w:t>4.3.3</w:t>
            </w:r>
            <w:bookmarkEnd w:id="1238"/>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39" w:name="_Toc160536984"/>
            <w:r w:rsidRPr="00EF535A">
              <w:rPr>
                <w:bCs/>
                <w:sz w:val="18"/>
                <w:szCs w:val="18"/>
              </w:rPr>
              <w:t>Kat. OC</w:t>
            </w:r>
            <w:r w:rsidRPr="00EF535A">
              <w:rPr>
                <w:bCs/>
                <w:sz w:val="18"/>
                <w:szCs w:val="18"/>
                <w:vertAlign w:val="subscript"/>
              </w:rPr>
              <w:t>90</w:t>
            </w:r>
            <w:r w:rsidRPr="00EF535A">
              <w:rPr>
                <w:bCs/>
                <w:sz w:val="18"/>
                <w:szCs w:val="18"/>
              </w:rPr>
              <w:t> (tj. procent przechodzącej masy przez sito 1,4D</w:t>
            </w:r>
            <w:r w:rsidRPr="00EF535A">
              <w:rPr>
                <w:bCs/>
                <w:sz w:val="18"/>
                <w:szCs w:val="18"/>
                <w:vertAlign w:val="superscript"/>
              </w:rPr>
              <w:t>*)</w:t>
            </w:r>
            <w:r w:rsidRPr="00EF535A">
              <w:rPr>
                <w:bCs/>
                <w:sz w:val="18"/>
                <w:szCs w:val="18"/>
              </w:rPr>
              <w:t> powinien wynosić 100%, a przechodzącej przez sito D</w:t>
            </w:r>
            <w:r w:rsidRPr="00EF535A">
              <w:rPr>
                <w:bCs/>
                <w:sz w:val="18"/>
                <w:szCs w:val="18"/>
                <w:vertAlign w:val="superscript"/>
              </w:rPr>
              <w:t>**)</w:t>
            </w:r>
            <w:r w:rsidRPr="00EF535A">
              <w:rPr>
                <w:bCs/>
                <w:sz w:val="18"/>
                <w:szCs w:val="18"/>
              </w:rPr>
              <w:t> powinien wynosić 90-99%)</w:t>
            </w:r>
            <w:bookmarkEnd w:id="1239"/>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0" w:name="_Toc160536985"/>
            <w:r w:rsidRPr="00EF535A">
              <w:rPr>
                <w:bCs/>
                <w:sz w:val="18"/>
                <w:szCs w:val="18"/>
              </w:rPr>
              <w:t>Wymagania wobec uziarnienia</w:t>
            </w:r>
            <w:bookmarkEnd w:id="1240"/>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1" w:name="_Toc160536986"/>
            <w:r w:rsidRPr="00EF535A">
              <w:rPr>
                <w:bCs/>
                <w:sz w:val="18"/>
                <w:szCs w:val="18"/>
              </w:rPr>
              <w:t>4.4.1</w:t>
            </w:r>
            <w:bookmarkEnd w:id="1241"/>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2" w:name="_Toc160536987"/>
            <w:r w:rsidRPr="00EF535A">
              <w:rPr>
                <w:bCs/>
                <w:sz w:val="18"/>
                <w:szCs w:val="18"/>
              </w:rPr>
              <w:t>Krzywe graniczne uziarnienia według rys. 1÷3</w:t>
            </w:r>
            <w:bookmarkEnd w:id="1242"/>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3" w:name="_Toc160536988"/>
            <w:r w:rsidRPr="00EF535A">
              <w:rPr>
                <w:bCs/>
                <w:sz w:val="18"/>
                <w:szCs w:val="18"/>
              </w:rPr>
              <w:t>Wymagania wobec jednorodności uziarnienia poszczególnych partii – porównanie z deklarowaną przez producenta wartością (S)</w:t>
            </w:r>
            <w:bookmarkEnd w:id="1243"/>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4" w:name="_Toc160536989"/>
            <w:r w:rsidRPr="00EF535A">
              <w:rPr>
                <w:bCs/>
                <w:sz w:val="18"/>
                <w:szCs w:val="18"/>
              </w:rPr>
              <w:t>4.4.2</w:t>
            </w:r>
            <w:bookmarkEnd w:id="1244"/>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5" w:name="_Toc160536990"/>
            <w:r w:rsidRPr="00EF535A">
              <w:rPr>
                <w:bCs/>
                <w:sz w:val="18"/>
                <w:szCs w:val="18"/>
              </w:rPr>
              <w:t>Wg tab. 2</w:t>
            </w:r>
            <w:bookmarkEnd w:id="1245"/>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6" w:name="_Toc160536991"/>
            <w:r w:rsidRPr="00EF535A">
              <w:rPr>
                <w:bCs/>
                <w:sz w:val="18"/>
                <w:szCs w:val="18"/>
              </w:rPr>
              <w:t>Wymagania wobec jednorodności uziarnienia na sitach kontrolnych – różnice w przesiewach</w:t>
            </w:r>
            <w:bookmarkEnd w:id="1246"/>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7" w:name="_Toc160536992"/>
            <w:r w:rsidRPr="00EF535A">
              <w:rPr>
                <w:bCs/>
                <w:sz w:val="18"/>
                <w:szCs w:val="18"/>
              </w:rPr>
              <w:t>4.4.2</w:t>
            </w:r>
            <w:bookmarkEnd w:id="1247"/>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8" w:name="_Toc160536993"/>
            <w:r w:rsidRPr="00EF535A">
              <w:rPr>
                <w:bCs/>
                <w:sz w:val="18"/>
                <w:szCs w:val="18"/>
              </w:rPr>
              <w:t>Wg tab. 3</w:t>
            </w:r>
            <w:bookmarkEnd w:id="1248"/>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49" w:name="_Toc160536994"/>
            <w:r w:rsidRPr="00EF535A">
              <w:rPr>
                <w:bCs/>
                <w:sz w:val="18"/>
                <w:szCs w:val="18"/>
              </w:rPr>
              <w:t>Wrażliwość na mróz; wskaźnik piaskowy SE</w:t>
            </w:r>
            <w:r w:rsidRPr="00EF535A">
              <w:rPr>
                <w:bCs/>
                <w:sz w:val="18"/>
                <w:szCs w:val="18"/>
                <w:vertAlign w:val="superscript"/>
              </w:rPr>
              <w:t>***)</w:t>
            </w:r>
            <w:r w:rsidRPr="00EF535A">
              <w:rPr>
                <w:bCs/>
                <w:sz w:val="18"/>
                <w:szCs w:val="18"/>
              </w:rPr>
              <w:t>, co najmniej</w:t>
            </w:r>
            <w:bookmarkEnd w:id="1249"/>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50" w:name="_Toc160536995"/>
            <w:r w:rsidRPr="00EF535A">
              <w:rPr>
                <w:bCs/>
                <w:sz w:val="18"/>
                <w:szCs w:val="18"/>
              </w:rPr>
              <w:t>4.5</w:t>
            </w:r>
            <w:bookmarkEnd w:id="1250"/>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51" w:name="_Toc160536996"/>
            <w:r w:rsidRPr="00EF535A">
              <w:rPr>
                <w:bCs/>
                <w:sz w:val="18"/>
                <w:szCs w:val="18"/>
              </w:rPr>
              <w:t>45</w:t>
            </w:r>
            <w:bookmarkEnd w:id="1251"/>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52" w:name="_Toc160536997"/>
            <w:r w:rsidRPr="00EF535A">
              <w:rPr>
                <w:bCs/>
                <w:sz w:val="18"/>
                <w:szCs w:val="18"/>
              </w:rPr>
              <w:t>Odporność na rozdrabnianie (dotyczy frakcji 10/14 mm odsianej z mieszanki) wg PN-EN 1097-1 [9], kat. nie wyższa niż</w:t>
            </w:r>
            <w:bookmarkEnd w:id="1252"/>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53" w:name="_Toc160536998"/>
            <w:r w:rsidRPr="00EF535A">
              <w:rPr>
                <w:bCs/>
                <w:sz w:val="18"/>
                <w:szCs w:val="18"/>
              </w:rPr>
              <w:t>Kat. LA</w:t>
            </w:r>
            <w:r w:rsidRPr="00EF535A">
              <w:rPr>
                <w:bCs/>
                <w:sz w:val="18"/>
                <w:szCs w:val="18"/>
                <w:vertAlign w:val="subscript"/>
              </w:rPr>
              <w:t>35</w:t>
            </w:r>
            <w:r w:rsidRPr="00EF535A">
              <w:rPr>
                <w:bCs/>
                <w:sz w:val="18"/>
                <w:szCs w:val="18"/>
              </w:rPr>
              <w:t>  (tj. współczynnik Los Angeles ≤ 35)</w:t>
            </w:r>
            <w:bookmarkEnd w:id="1253"/>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54" w:name="_Toc160536999"/>
            <w:r w:rsidRPr="00EF535A">
              <w:rPr>
                <w:bCs/>
                <w:sz w:val="18"/>
                <w:szCs w:val="18"/>
              </w:rPr>
              <w:t>Odporność na ścieranie (dotyczy frakcji 10/14 mm odsianej z mieszanki) wg PN-EN 1097-1 [9], kat. M</w:t>
            </w:r>
            <w:r w:rsidRPr="00EF535A">
              <w:rPr>
                <w:bCs/>
                <w:sz w:val="18"/>
                <w:szCs w:val="18"/>
                <w:vertAlign w:val="subscript"/>
              </w:rPr>
              <w:t>DE</w:t>
            </w:r>
            <w:bookmarkEnd w:id="1254"/>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55" w:name="_Toc160537000"/>
            <w:r w:rsidRPr="00EF535A">
              <w:rPr>
                <w:bCs/>
                <w:sz w:val="18"/>
                <w:szCs w:val="18"/>
              </w:rPr>
              <w:t>Deklarowana</w:t>
            </w:r>
            <w:bookmarkEnd w:id="1255"/>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56" w:name="_Toc160537001"/>
            <w:r w:rsidRPr="00EF535A">
              <w:rPr>
                <w:bCs/>
                <w:sz w:val="18"/>
                <w:szCs w:val="18"/>
              </w:rPr>
              <w:t>Mrozoodporność (dotyczy frakcji kruszywa 8/16 mm odsianej z mieszanki) wg PN-EN 1367-1 [12]</w:t>
            </w:r>
            <w:bookmarkEnd w:id="1256"/>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57" w:name="_Toc160537002"/>
            <w:r w:rsidRPr="00EF535A">
              <w:rPr>
                <w:bCs/>
                <w:sz w:val="18"/>
                <w:szCs w:val="18"/>
              </w:rPr>
              <w:t>Kat. F4  (tj. zamrażanie-rozmrażanie, procent masy ≤ 4)</w:t>
            </w:r>
            <w:bookmarkEnd w:id="1257"/>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58" w:name="_Toc160537003"/>
            <w:r w:rsidRPr="00EF535A">
              <w:rPr>
                <w:bCs/>
                <w:sz w:val="18"/>
                <w:szCs w:val="18"/>
              </w:rPr>
              <w:t>Wartość CBR po zagęszczeniu do wskaźnika zagęszczenia I</w:t>
            </w:r>
            <w:r w:rsidRPr="00EF535A">
              <w:rPr>
                <w:bCs/>
                <w:sz w:val="18"/>
                <w:szCs w:val="18"/>
                <w:vertAlign w:val="subscript"/>
              </w:rPr>
              <w:t>S</w:t>
            </w:r>
            <w:r w:rsidRPr="00EF535A">
              <w:rPr>
                <w:bCs/>
                <w:sz w:val="18"/>
                <w:szCs w:val="18"/>
              </w:rPr>
              <w:t>=1,0 i moczeniu w wodzie 96 h, co najmniej</w:t>
            </w:r>
            <w:bookmarkEnd w:id="1258"/>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bookmarkStart w:id="1259" w:name="_Toc160537004"/>
            <w:r w:rsidRPr="00EF535A">
              <w:rPr>
                <w:bCs/>
                <w:sz w:val="18"/>
                <w:szCs w:val="18"/>
              </w:rPr>
              <w:t>≥ 80</w:t>
            </w:r>
            <w:bookmarkEnd w:id="1259"/>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60" w:name="_Toc160537005"/>
            <w:r w:rsidRPr="00EF535A">
              <w:rPr>
                <w:bCs/>
                <w:sz w:val="18"/>
                <w:szCs w:val="18"/>
              </w:rPr>
              <w:t>Wodoprzepuszczalność mieszanki w warstwie odsączającej po zagęszczeniu metodą </w:t>
            </w:r>
            <w:r w:rsidRPr="00EF535A">
              <w:rPr>
                <w:rStyle w:val="spelle"/>
                <w:rFonts w:ascii="Times New Roman" w:hAnsi="Times New Roman" w:cs="Times New Roman"/>
                <w:bCs/>
                <w:sz w:val="18"/>
                <w:szCs w:val="18"/>
              </w:rPr>
              <w:t>Proctora</w:t>
            </w:r>
            <w:r w:rsidRPr="00EF535A">
              <w:rPr>
                <w:bCs/>
                <w:sz w:val="18"/>
                <w:szCs w:val="18"/>
              </w:rPr>
              <w:t> do wskaźnika zagęszczenia I</w:t>
            </w:r>
            <w:r w:rsidRPr="00EF535A">
              <w:rPr>
                <w:bCs/>
                <w:sz w:val="18"/>
                <w:szCs w:val="18"/>
                <w:vertAlign w:val="subscript"/>
              </w:rPr>
              <w:t>S</w:t>
            </w:r>
            <w:r w:rsidRPr="00EF535A">
              <w:rPr>
                <w:bCs/>
                <w:sz w:val="18"/>
                <w:szCs w:val="18"/>
              </w:rPr>
              <w:t>=1,0; </w:t>
            </w:r>
            <w:r w:rsidRPr="00EF535A">
              <w:rPr>
                <w:rStyle w:val="spelle"/>
                <w:rFonts w:ascii="Times New Roman" w:hAnsi="Times New Roman" w:cs="Times New Roman"/>
                <w:bCs/>
                <w:sz w:val="18"/>
                <w:szCs w:val="18"/>
              </w:rPr>
              <w:t>wsp</w:t>
            </w:r>
            <w:r w:rsidRPr="00EF535A">
              <w:rPr>
                <w:bCs/>
                <w:sz w:val="18"/>
                <w:szCs w:val="18"/>
              </w:rPr>
              <w:t>. filtracji ”k”, co najmniej cm/s</w:t>
            </w:r>
            <w:bookmarkEnd w:id="1260"/>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61" w:name="_Toc160537006"/>
            <w:r w:rsidRPr="00EF535A">
              <w:rPr>
                <w:bCs/>
                <w:sz w:val="18"/>
                <w:szCs w:val="18"/>
              </w:rPr>
              <w:t>4.5</w:t>
            </w:r>
            <w:bookmarkEnd w:id="1261"/>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62" w:name="_Toc160537007"/>
            <w:r w:rsidRPr="00EF535A">
              <w:rPr>
                <w:bCs/>
                <w:sz w:val="18"/>
                <w:szCs w:val="18"/>
              </w:rPr>
              <w:t>Brak wymagań</w:t>
            </w:r>
            <w:bookmarkEnd w:id="1262"/>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63" w:name="_Toc160537008"/>
            <w:r w:rsidRPr="00EF535A">
              <w:rPr>
                <w:bCs/>
                <w:sz w:val="18"/>
                <w:szCs w:val="18"/>
              </w:rPr>
              <w:t>Zawartość wody w mieszance zagęszczanej; % (m/m) wilgotności optymalnej wg metody </w:t>
            </w:r>
            <w:r w:rsidRPr="00EF535A">
              <w:rPr>
                <w:rStyle w:val="spelle"/>
                <w:rFonts w:ascii="Times New Roman" w:hAnsi="Times New Roman" w:cs="Times New Roman"/>
                <w:bCs/>
                <w:sz w:val="18"/>
                <w:szCs w:val="18"/>
              </w:rPr>
              <w:t>Proctora</w:t>
            </w:r>
            <w:bookmarkEnd w:id="1263"/>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r w:rsidRPr="00EF535A">
              <w:rPr>
                <w:bCs/>
                <w:sz w:val="18"/>
                <w:szCs w:val="18"/>
              </w:rPr>
              <w:t> </w:t>
            </w:r>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64" w:name="_Toc160537009"/>
            <w:r w:rsidRPr="00EF535A">
              <w:rPr>
                <w:bCs/>
                <w:sz w:val="18"/>
                <w:szCs w:val="18"/>
              </w:rPr>
              <w:t>80-100</w:t>
            </w:r>
            <w:bookmarkEnd w:id="1264"/>
          </w:p>
        </w:tc>
      </w:tr>
      <w:tr w:rsidR="0034055A" w:rsidRPr="00EF535A" w:rsidTr="0034055A">
        <w:tc>
          <w:tcPr>
            <w:tcW w:w="3085"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65" w:name="_Toc160537010"/>
            <w:r w:rsidRPr="00EF535A">
              <w:rPr>
                <w:bCs/>
                <w:sz w:val="18"/>
                <w:szCs w:val="18"/>
              </w:rPr>
              <w:t>Inne cechy środowiskowe</w:t>
            </w:r>
            <w:bookmarkEnd w:id="1265"/>
          </w:p>
        </w:tc>
        <w:tc>
          <w:tcPr>
            <w:tcW w:w="709"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66" w:name="_Toc160537011"/>
            <w:r w:rsidRPr="00EF535A">
              <w:rPr>
                <w:bCs/>
                <w:sz w:val="18"/>
                <w:szCs w:val="18"/>
              </w:rPr>
              <w:t>4.5</w:t>
            </w:r>
            <w:bookmarkEnd w:id="1266"/>
          </w:p>
        </w:tc>
        <w:tc>
          <w:tcPr>
            <w:tcW w:w="519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bCs/>
                <w:sz w:val="18"/>
                <w:szCs w:val="18"/>
              </w:rPr>
            </w:pPr>
            <w:bookmarkStart w:id="1267" w:name="_Toc160537012"/>
            <w:r w:rsidRPr="00EF535A">
              <w:rPr>
                <w:bCs/>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bookmarkEnd w:id="1267"/>
          </w:p>
        </w:tc>
      </w:tr>
    </w:tbl>
    <w:p w:rsidR="0034055A" w:rsidRPr="007078D3" w:rsidRDefault="0034055A" w:rsidP="00196DDD">
      <w:pPr>
        <w:rPr>
          <w:color w:val="000000"/>
        </w:rPr>
      </w:pPr>
      <w:r w:rsidRPr="007078D3">
        <w:rPr>
          <w:color w:val="000000"/>
          <w:vertAlign w:val="superscript"/>
        </w:rPr>
        <w:t>*)</w:t>
      </w:r>
      <w:r w:rsidRPr="007078D3">
        <w:rPr>
          <w:color w:val="000000"/>
        </w:rPr>
        <w:t> Gdy wartości obliczone z 1,4D oraz d/2 nie są dokładnymi wymiarami sit serii ISO 565/R20, należy przyjąć następny niższy wymiar sita. Jeśli D=90 mm należy przyjąć wymiar sita 125 mm jako wartość nadziarna.</w:t>
      </w:r>
    </w:p>
    <w:p w:rsidR="0034055A" w:rsidRPr="007078D3" w:rsidRDefault="0034055A" w:rsidP="00196DDD">
      <w:pPr>
        <w:rPr>
          <w:color w:val="000000"/>
        </w:rPr>
      </w:pPr>
      <w:r w:rsidRPr="007078D3">
        <w:rPr>
          <w:color w:val="000000"/>
          <w:vertAlign w:val="superscript"/>
        </w:rPr>
        <w:t>**)</w:t>
      </w:r>
      <w:r w:rsidRPr="007078D3">
        <w:rPr>
          <w:color w:val="000000"/>
        </w:rPr>
        <w:t> Procentowa zawartość ziaren przechodzących przez sito D może być większa niż 99% masy, ale w takich przypadkach dostawca powinien zadeklarować typowe uziarnienie.</w:t>
      </w:r>
    </w:p>
    <w:p w:rsidR="0034055A" w:rsidRPr="007078D3" w:rsidRDefault="0034055A" w:rsidP="00196DDD">
      <w:pPr>
        <w:rPr>
          <w:color w:val="000000"/>
        </w:rPr>
      </w:pPr>
      <w:r w:rsidRPr="007078D3">
        <w:rPr>
          <w:color w:val="000000"/>
          <w:vertAlign w:val="superscript"/>
        </w:rPr>
        <w:t>***) </w:t>
      </w:r>
      <w:r w:rsidRPr="007078D3">
        <w:rPr>
          <w:color w:val="000000"/>
        </w:rPr>
        <w:t>Badanie wskaźnika piaskowego SE należy wykonać na mieszance po pięciokrotnym zagęszczeniu metodą </w:t>
      </w:r>
      <w:r w:rsidRPr="007078D3">
        <w:rPr>
          <w:rStyle w:val="spelle"/>
          <w:rFonts w:ascii="Times New Roman" w:hAnsi="Times New Roman" w:cs="Times New Roman"/>
          <w:color w:val="000000"/>
          <w:szCs w:val="20"/>
        </w:rPr>
        <w:t>Proctora</w:t>
      </w:r>
      <w:r w:rsidRPr="007078D3">
        <w:rPr>
          <w:color w:val="000000"/>
        </w:rPr>
        <w:t> wg PN-EN 13286-2 [18].</w:t>
      </w:r>
    </w:p>
    <w:p w:rsidR="0034055A" w:rsidRPr="007078D3" w:rsidRDefault="0034055A" w:rsidP="00196DDD">
      <w:pPr>
        <w:rPr>
          <w:color w:val="000000"/>
        </w:rPr>
      </w:pPr>
      <w:r w:rsidRPr="007078D3">
        <w:rPr>
          <w:color w:val="000000"/>
        </w:rPr>
        <w:t>5.5. Odcinek próbny</w:t>
      </w:r>
    </w:p>
    <w:p w:rsidR="0034055A" w:rsidRPr="007078D3" w:rsidRDefault="0034055A" w:rsidP="00196DDD">
      <w:pPr>
        <w:rPr>
          <w:color w:val="000000"/>
        </w:rPr>
      </w:pPr>
      <w:r w:rsidRPr="007078D3">
        <w:rPr>
          <w:color w:val="000000"/>
        </w:rPr>
        <w:t>Jeżeli w ST przewidziano potrzebę wykonania odcinka próbnego, to przed rozpoczęciem robót, w terminie uzgodnionym z Inżynierem, Wykonawca powinien wykonać odcinek próbny w celu:</w:t>
      </w:r>
    </w:p>
    <w:p w:rsidR="0034055A" w:rsidRPr="007078D3" w:rsidRDefault="0034055A" w:rsidP="00196DDD">
      <w:pPr>
        <w:rPr>
          <w:color w:val="000000"/>
        </w:rPr>
      </w:pPr>
      <w:r w:rsidRPr="007078D3">
        <w:rPr>
          <w:color w:val="000000"/>
        </w:rPr>
        <w:t>1.     stwierdzenia czy właściwy jest sprzęt budowlany do produkcji mieszanki oraz jej rozkładania i zagęszczania,</w:t>
      </w:r>
    </w:p>
    <w:p w:rsidR="0034055A" w:rsidRPr="007078D3" w:rsidRDefault="0034055A" w:rsidP="00196DDD">
      <w:pPr>
        <w:rPr>
          <w:color w:val="000000"/>
        </w:rPr>
      </w:pPr>
      <w:r w:rsidRPr="007078D3">
        <w:rPr>
          <w:color w:val="000000"/>
        </w:rPr>
        <w:t>2.     określenia grubości wykonywanej warstwy w stanie luźnym, koniecznej do uzyskania wymaganej grubości warstwy po zagęszczeniu,</w:t>
      </w:r>
    </w:p>
    <w:p w:rsidR="0034055A" w:rsidRPr="007078D3" w:rsidRDefault="0034055A" w:rsidP="00196DDD">
      <w:pPr>
        <w:rPr>
          <w:color w:val="000000"/>
        </w:rPr>
      </w:pPr>
      <w:r w:rsidRPr="007078D3">
        <w:rPr>
          <w:color w:val="000000"/>
        </w:rPr>
        <w:t>3.     określenia liczby przejść sprzętu zagęszczającego, potrzebnej do uzyskania wymaganego wskaźnika zagęszczenia wykonywanej warstwy.</w:t>
      </w:r>
    </w:p>
    <w:p w:rsidR="0034055A" w:rsidRPr="007078D3" w:rsidRDefault="0034055A" w:rsidP="00196DDD">
      <w:pPr>
        <w:rPr>
          <w:color w:val="000000"/>
        </w:rPr>
      </w:pPr>
      <w:r w:rsidRPr="007078D3">
        <w:rPr>
          <w:color w:val="000000"/>
        </w:rPr>
        <w:lastRenderedPageBreak/>
        <w:t>Na odcinku próbnym Wykonawca powinien użyć takich materiałów oraz sprzętu do mieszania, rozkładania i zagęszczania, jakie będą stosowane do wykonania warstwy.</w:t>
      </w:r>
    </w:p>
    <w:p w:rsidR="0034055A" w:rsidRPr="007078D3" w:rsidRDefault="0034055A" w:rsidP="00196DDD">
      <w:pPr>
        <w:rPr>
          <w:color w:val="000000"/>
        </w:rPr>
      </w:pPr>
      <w:r w:rsidRPr="007078D3">
        <w:rPr>
          <w:color w:val="000000"/>
        </w:rPr>
        <w:t>Powierzchnia odcinka próbnego powinna wynosić od 400  do 800 m</w:t>
      </w:r>
      <w:r w:rsidRPr="007078D3">
        <w:rPr>
          <w:color w:val="000000"/>
          <w:vertAlign w:val="superscript"/>
        </w:rPr>
        <w:t>2</w:t>
      </w:r>
      <w:r w:rsidRPr="007078D3">
        <w:rPr>
          <w:color w:val="000000"/>
        </w:rPr>
        <w:t>.</w:t>
      </w:r>
    </w:p>
    <w:p w:rsidR="0034055A" w:rsidRPr="007078D3" w:rsidRDefault="0034055A" w:rsidP="00196DDD">
      <w:pPr>
        <w:rPr>
          <w:color w:val="000000"/>
        </w:rPr>
      </w:pPr>
      <w:r w:rsidRPr="007078D3">
        <w:rPr>
          <w:color w:val="000000"/>
        </w:rPr>
        <w:t>Odcinek próbny powinien być zlokalizowany w miejscu wskazanym przez Inżyniera.</w:t>
      </w:r>
    </w:p>
    <w:p w:rsidR="0034055A" w:rsidRPr="007078D3" w:rsidRDefault="0034055A" w:rsidP="00196DDD">
      <w:pPr>
        <w:rPr>
          <w:color w:val="000000"/>
        </w:rPr>
      </w:pPr>
      <w:r w:rsidRPr="007078D3">
        <w:rPr>
          <w:color w:val="000000"/>
        </w:rPr>
        <w:t>Wykonawca może przystąpić do wykonywania warstwy po zaakceptowaniu odcinka próbnego przez Inżyniera.</w:t>
      </w:r>
    </w:p>
    <w:p w:rsidR="0034055A" w:rsidRPr="007078D3" w:rsidRDefault="0034055A" w:rsidP="00196DDD">
      <w:pPr>
        <w:rPr>
          <w:color w:val="000000"/>
        </w:rPr>
      </w:pPr>
      <w:r w:rsidRPr="007078D3">
        <w:rPr>
          <w:color w:val="000000"/>
        </w:rPr>
        <w:t>5.6. Podłoże pod podbudowę zasadniczą</w:t>
      </w:r>
    </w:p>
    <w:p w:rsidR="0034055A" w:rsidRPr="007078D3" w:rsidRDefault="0034055A" w:rsidP="00196DDD">
      <w:pPr>
        <w:rPr>
          <w:color w:val="000000"/>
        </w:rPr>
      </w:pPr>
      <w:r w:rsidRPr="007078D3">
        <w:rPr>
          <w:color w:val="000000"/>
        </w:rPr>
        <w:t>            Podłożem pod podbudowę zasadniczą jest podbudowa pomocnicza. Rodzaj podbudowy pomocniczej powinien być zgodny z ustaleniem dokumentacji projektowej. Wszystkie niezbędne cechy geometryczne podbudowy pomocniczej powinny umożliwić ułożenie na niej podbudowy zasadniczej.</w:t>
      </w:r>
    </w:p>
    <w:p w:rsidR="0034055A" w:rsidRPr="007078D3" w:rsidRDefault="0034055A" w:rsidP="00196DDD">
      <w:pPr>
        <w:rPr>
          <w:color w:val="000000"/>
        </w:rPr>
      </w:pPr>
      <w:r w:rsidRPr="007078D3">
        <w:rPr>
          <w:color w:val="000000"/>
        </w:rPr>
        <w:t xml:space="preserve">            Jeśli podbudowa pomocnicza wykonana jest z mieszanki kruszywa niezwiązanego to powinna być wykonana zgodnie z </w:t>
      </w:r>
      <w:r w:rsidR="00985629">
        <w:rPr>
          <w:color w:val="000000"/>
        </w:rPr>
        <w:t>SST</w:t>
      </w:r>
      <w:r w:rsidRPr="007078D3">
        <w:rPr>
          <w:color w:val="000000"/>
        </w:rPr>
        <w:t xml:space="preserve"> D-04.04.02a „Podbudowa pomocnicza z mieszanki kruszywa niezwiązanego” [4].</w:t>
      </w:r>
    </w:p>
    <w:p w:rsidR="0034055A" w:rsidRPr="007078D3" w:rsidRDefault="0034055A" w:rsidP="00196DDD">
      <w:pPr>
        <w:rPr>
          <w:color w:val="000000"/>
        </w:rPr>
      </w:pPr>
      <w:r w:rsidRPr="007078D3">
        <w:rPr>
          <w:color w:val="000000"/>
        </w:rPr>
        <w:t>5.7. Wytwarzanie mieszanki kruszywa na warstwę podbudowy zasadniczej</w:t>
      </w:r>
    </w:p>
    <w:p w:rsidR="0034055A" w:rsidRPr="007078D3" w:rsidRDefault="0034055A" w:rsidP="00196DDD">
      <w:pPr>
        <w:rPr>
          <w:color w:val="000000"/>
        </w:rPr>
      </w:pPr>
      <w:r w:rsidRPr="007078D3">
        <w:rPr>
          <w:color w:val="000000"/>
        </w:rPr>
        <w:t>Mieszankę kruszywa o ściśle określonym uziarnieniu i wilgotności optymalnej należy wytwarzać w mieszarkach, gwarantujących otrzymanie jednorodnej mieszanki. Mieszarki (wytwórnie mieszanek kruszywa) stacjonarne lub mobilne powinny zapewnić ciągłość produkcji zgodną z receptą laboratoryjną.</w:t>
      </w:r>
    </w:p>
    <w:p w:rsidR="0034055A" w:rsidRPr="007078D3" w:rsidRDefault="0034055A" w:rsidP="00196DDD">
      <w:pPr>
        <w:rPr>
          <w:color w:val="000000"/>
        </w:rPr>
      </w:pPr>
      <w:r w:rsidRPr="007078D3">
        <w:rPr>
          <w:color w:val="000000"/>
        </w:rPr>
        <w:t>            Ze względu na konieczność zapewnienia mieszance jednorodności nie zaleca się wytwarzania mieszanki przez mieszanie poszczególnych frakcji kruszywa na drodze.</w:t>
      </w:r>
    </w:p>
    <w:p w:rsidR="0034055A" w:rsidRPr="007078D3" w:rsidRDefault="0034055A" w:rsidP="00196DDD">
      <w:pPr>
        <w:rPr>
          <w:color w:val="000000"/>
        </w:rPr>
      </w:pPr>
      <w:r w:rsidRPr="007078D3">
        <w:rPr>
          <w:color w:val="000000"/>
        </w:rPr>
        <w:t>            Przy produkcji mieszanki kruszywa należy prowadzić zakładową kontrolę produkcji mieszanek niezwiązanych, zgodnie z  WT-4 [21] załącznik C, a przy dostarczaniu mieszanki przez producenta/dostawcę należy stosować się do zasad deklarowania w odniesieniu do zakresu uziarnienia podanych w WT-4 [21] załącznik B.</w:t>
      </w:r>
    </w:p>
    <w:p w:rsidR="0034055A" w:rsidRPr="007078D3" w:rsidRDefault="0034055A" w:rsidP="00196DDD">
      <w:pPr>
        <w:rPr>
          <w:color w:val="000000"/>
        </w:rPr>
      </w:pPr>
      <w:r w:rsidRPr="007078D3">
        <w:rPr>
          <w:color w:val="000000"/>
        </w:rPr>
        <w:t>5.8. Wbudowanie mieszanki kruszywa</w:t>
      </w:r>
    </w:p>
    <w:p w:rsidR="0034055A" w:rsidRPr="007078D3" w:rsidRDefault="0034055A" w:rsidP="00196DDD">
      <w:pPr>
        <w:rPr>
          <w:color w:val="000000"/>
        </w:rPr>
      </w:pPr>
      <w:r w:rsidRPr="007078D3">
        <w:rPr>
          <w:color w:val="000000"/>
        </w:rPr>
        <w:t>            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w:t>
      </w:r>
    </w:p>
    <w:p w:rsidR="0034055A" w:rsidRPr="007078D3" w:rsidRDefault="0034055A" w:rsidP="00196DDD">
      <w:pPr>
        <w:rPr>
          <w:color w:val="000000"/>
        </w:rPr>
      </w:pPr>
      <w:r w:rsidRPr="007078D3">
        <w:rPr>
          <w:color w:val="000000"/>
        </w:rPr>
        <w:t>            Mieszanka kruszywa powinna być rozkładana metodą zmechanizowaną przy użyciu zalecanej, elektronicznie sterowanej, rozkładarki, która wstępnie może zagęszczać układaną warstwę kruszywa. Rozkładana warstwa kruszywa powinna być jednakowej grubości, takiej aby jej ostateczna grubość po zagęszczeniu była równa grubości projektowanej. Grubość pojedynczo układanej warstwy nie może przekraczać 20 cm po zagęszczeniu. Jeżeli układana konstrukcja składa się z więcej niż jednej warstwy kruszywa, to każda warstwa powinna być wyprofilowana i zagęszczona z zachowaniem wymaganych spadków i rzędnych wysokościowych. Rozpoczęcie budowy każdej następnej warstwy może nastąpić po odbiorze poprzedniej warstwy przez Inżyniera.</w:t>
      </w:r>
    </w:p>
    <w:p w:rsidR="0034055A" w:rsidRPr="007078D3" w:rsidRDefault="0034055A" w:rsidP="00196DDD">
      <w:pPr>
        <w:rPr>
          <w:color w:val="000000"/>
        </w:rPr>
      </w:pPr>
      <w:r w:rsidRPr="007078D3">
        <w:rPr>
          <w:color w:val="000000"/>
        </w:rPr>
        <w:t>            Wilgotność mieszanki kruszywa podczas zagęszczania powinna odpowiadać wilgotności optymalnej, określonej według próby </w:t>
      </w:r>
      <w:r w:rsidRPr="007078D3">
        <w:rPr>
          <w:rStyle w:val="spelle"/>
          <w:rFonts w:ascii="Times New Roman" w:hAnsi="Times New Roman" w:cs="Times New Roman"/>
          <w:color w:val="000000"/>
          <w:szCs w:val="20"/>
        </w:rPr>
        <w:t>Proctora</w:t>
      </w:r>
      <w:r w:rsidRPr="007078D3">
        <w:rPr>
          <w:color w:val="000000"/>
        </w:rPr>
        <w:t>. Mieszanka o większej wilgotności powinna zostać osuszona przez mieszanie i napowietrzanie, np. przemieszanie jej mieszarką, kilkakrotne przesuwanie mieszanki równiarką.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w:t>
      </w:r>
    </w:p>
    <w:p w:rsidR="0034055A" w:rsidRPr="007078D3" w:rsidRDefault="0034055A" w:rsidP="00196DDD">
      <w:pPr>
        <w:rPr>
          <w:color w:val="000000"/>
        </w:rPr>
      </w:pPr>
      <w:r w:rsidRPr="007078D3">
        <w:rPr>
          <w:color w:val="000000"/>
        </w:rPr>
        <w:t>            Rozścieloną mieszankę kruszywa należy sprofilować równiarką lub ciężkim szablonem, do spadków poprzecznych i pochyleń podłużnych ustalonych w dokumentacji projektowej. W czasie profilowania należy wyrównać lokalne wgłębienia.</w:t>
      </w:r>
    </w:p>
    <w:p w:rsidR="0034055A" w:rsidRPr="007078D3" w:rsidRDefault="0034055A" w:rsidP="00196DDD">
      <w:pPr>
        <w:rPr>
          <w:color w:val="000000"/>
        </w:rPr>
      </w:pPr>
      <w:r w:rsidRPr="007078D3">
        <w:rPr>
          <w:color w:val="000000"/>
        </w:rPr>
        <w:t>5.9. Zagęszczanie mieszanki kruszywa</w:t>
      </w:r>
    </w:p>
    <w:p w:rsidR="0034055A" w:rsidRPr="007078D3" w:rsidRDefault="0034055A" w:rsidP="00196DDD">
      <w:pPr>
        <w:rPr>
          <w:color w:val="000000"/>
        </w:rPr>
      </w:pPr>
      <w:r w:rsidRPr="007078D3">
        <w:rPr>
          <w:color w:val="000000"/>
        </w:rPr>
        <w:t>            Po wyprofilowaniu mieszanki kruszywa należy rozpocząć jej zagęszczanie, które należy kontynuować aż do osiągnięcia wymaganego w ST wskaźnika zagęszczenia.</w:t>
      </w:r>
    </w:p>
    <w:p w:rsidR="0034055A" w:rsidRPr="007078D3" w:rsidRDefault="0034055A" w:rsidP="00196DDD">
      <w:pPr>
        <w:rPr>
          <w:color w:val="000000"/>
        </w:rPr>
      </w:pPr>
      <w:r w:rsidRPr="007078D3">
        <w:rPr>
          <w:color w:val="000000"/>
        </w:rPr>
        <w:t>            Warstwę kruszywa niezwiązanego należy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należy stosować zagęszczarki płytowe, ubijaki mechaniczne itp.</w:t>
      </w:r>
    </w:p>
    <w:p w:rsidR="0034055A" w:rsidRPr="007078D3" w:rsidRDefault="0034055A" w:rsidP="00196DDD">
      <w:pPr>
        <w:rPr>
          <w:color w:val="000000"/>
        </w:rPr>
      </w:pPr>
      <w:r w:rsidRPr="007078D3">
        <w:rPr>
          <w:color w:val="000000"/>
        </w:rPr>
        <w:t>            Zagęszczenie powinno być równomierne na całej szerokości warstwy.</w:t>
      </w:r>
    </w:p>
    <w:p w:rsidR="0034055A" w:rsidRPr="007078D3" w:rsidRDefault="0034055A" w:rsidP="00196DDD">
      <w:pPr>
        <w:rPr>
          <w:color w:val="000000"/>
        </w:rPr>
      </w:pPr>
      <w:r w:rsidRPr="007078D3">
        <w:rPr>
          <w:color w:val="000000"/>
        </w:rPr>
        <w:t>            Zaleca się, aby grubość zagęszczanej warstwy nie przekraczała przy walcach statycznych gładkich 15 cm, a przy walcach ogumionych lub wibracyjnych 20 cm.</w:t>
      </w:r>
    </w:p>
    <w:p w:rsidR="0034055A" w:rsidRPr="007078D3" w:rsidRDefault="0034055A" w:rsidP="00196DDD">
      <w:pPr>
        <w:rPr>
          <w:color w:val="000000"/>
        </w:rPr>
      </w:pPr>
      <w:r w:rsidRPr="007078D3">
        <w:rPr>
          <w:color w:val="000000"/>
        </w:rPr>
        <w:t>5.10. Utrzymanie wykonanej warstwy</w:t>
      </w:r>
    </w:p>
    <w:p w:rsidR="0034055A" w:rsidRPr="007078D3" w:rsidRDefault="0034055A" w:rsidP="00196DDD">
      <w:pPr>
        <w:rPr>
          <w:color w:val="000000"/>
        </w:rPr>
      </w:pPr>
      <w:r w:rsidRPr="007078D3">
        <w:rPr>
          <w:color w:val="000000"/>
        </w:rPr>
        <w:t>            Zagęszczona warstwa, przed ułożeniem następnej warstwy, powinna być utrzymywana w dobrym stanie. Jeżeli po wykonanej warstwie będzie się odbywał ruch budowlany, to Wykonawca jest obowiązany naprawić wszelkie uszkodzenia, spowodowane przez ten ruch.</w:t>
      </w:r>
    </w:p>
    <w:p w:rsidR="0034055A" w:rsidRPr="007078D3" w:rsidRDefault="0034055A" w:rsidP="00196DDD">
      <w:pPr>
        <w:rPr>
          <w:color w:val="000000"/>
        </w:rPr>
      </w:pPr>
      <w:r w:rsidRPr="007078D3">
        <w:rPr>
          <w:color w:val="000000"/>
        </w:rPr>
        <w:t>5.11. Impregnacja podbudowy zasadniczej</w:t>
      </w:r>
    </w:p>
    <w:p w:rsidR="0034055A" w:rsidRPr="007078D3" w:rsidRDefault="0034055A" w:rsidP="00196DDD">
      <w:pPr>
        <w:rPr>
          <w:color w:val="000000"/>
        </w:rPr>
      </w:pPr>
      <w:r w:rsidRPr="007078D3">
        <w:rPr>
          <w:color w:val="000000"/>
        </w:rPr>
        <w:t>            Jeśli nie przewiduje się układania warstwy ścieralnej bezpośrednio po zagęszczeniu podbudowy zasadniczej można, po zaakceptowaniu przez Inżyniera, zaimpregnować podbudowę zasadniczą asfaltem 160/220 w ilości około 1,0 kg/m</w:t>
      </w:r>
      <w:r w:rsidRPr="007078D3">
        <w:rPr>
          <w:color w:val="000000"/>
          <w:vertAlign w:val="superscript"/>
        </w:rPr>
        <w:t>2</w:t>
      </w:r>
      <w:r w:rsidRPr="007078D3">
        <w:rPr>
          <w:color w:val="000000"/>
        </w:rPr>
        <w:t>, albo emulsją kationową z przysypaniem piaskiem gruboziarnistym w ilości około 5 kg/m</w:t>
      </w:r>
      <w:r w:rsidRPr="007078D3">
        <w:rPr>
          <w:color w:val="000000"/>
          <w:vertAlign w:val="superscript"/>
        </w:rPr>
        <w:t>2</w:t>
      </w:r>
      <w:r w:rsidRPr="007078D3">
        <w:rPr>
          <w:color w:val="000000"/>
        </w:rPr>
        <w:t>.</w:t>
      </w:r>
    </w:p>
    <w:p w:rsidR="0034055A" w:rsidRPr="007078D3" w:rsidRDefault="0034055A" w:rsidP="00196DDD">
      <w:pPr>
        <w:rPr>
          <w:color w:val="000000"/>
        </w:rPr>
      </w:pPr>
      <w:r w:rsidRPr="007078D3">
        <w:rPr>
          <w:color w:val="000000"/>
        </w:rPr>
        <w:t>5.12. Roboty wykończeniowe</w:t>
      </w:r>
    </w:p>
    <w:p w:rsidR="0034055A" w:rsidRPr="007078D3" w:rsidRDefault="0034055A" w:rsidP="00196DDD">
      <w:pPr>
        <w:rPr>
          <w:color w:val="000000"/>
        </w:rPr>
      </w:pPr>
      <w:r w:rsidRPr="007078D3">
        <w:rPr>
          <w:color w:val="000000"/>
        </w:rPr>
        <w:t>Roboty wykończeniowe, zgodne z dokumentacją projektową, ST lub wskazaniami Inżyniera dotyczą prac związanych z dostosowaniem wykonanych  robót do istniejących warunków terenowych, takie jak:</w:t>
      </w:r>
    </w:p>
    <w:p w:rsidR="0034055A" w:rsidRPr="007078D3" w:rsidRDefault="0034055A" w:rsidP="00196DDD">
      <w:pPr>
        <w:rPr>
          <w:color w:val="000000"/>
        </w:rPr>
      </w:pPr>
      <w:r w:rsidRPr="007078D3">
        <w:rPr>
          <w:color w:val="000000"/>
        </w:rPr>
        <w:t>–    odtworzenie przeszkód czasowo usuniętych,</w:t>
      </w:r>
    </w:p>
    <w:p w:rsidR="0034055A" w:rsidRPr="007078D3" w:rsidRDefault="0034055A" w:rsidP="00196DDD">
      <w:pPr>
        <w:rPr>
          <w:color w:val="000000"/>
        </w:rPr>
      </w:pPr>
      <w:r w:rsidRPr="007078D3">
        <w:rPr>
          <w:color w:val="000000"/>
        </w:rPr>
        <w:t>–    uzupełnienie zniszczonych w czasie robót istniejących elementów drogowych lub terenowych,</w:t>
      </w:r>
    </w:p>
    <w:p w:rsidR="0034055A" w:rsidRPr="007078D3" w:rsidRDefault="0034055A" w:rsidP="00196DDD">
      <w:pPr>
        <w:rPr>
          <w:color w:val="000000"/>
        </w:rPr>
      </w:pPr>
      <w:r w:rsidRPr="007078D3">
        <w:rPr>
          <w:color w:val="000000"/>
        </w:rPr>
        <w:t>-     roboty porządkujące otoczenie terenu robót,</w:t>
      </w:r>
    </w:p>
    <w:p w:rsidR="0034055A" w:rsidRPr="007078D3" w:rsidRDefault="0034055A" w:rsidP="00196DDD">
      <w:pPr>
        <w:rPr>
          <w:color w:val="000000"/>
        </w:rPr>
      </w:pPr>
      <w:r w:rsidRPr="007078D3">
        <w:rPr>
          <w:color w:val="000000"/>
        </w:rPr>
        <w:t>-     usunięcie oznakowania drogi wprowadzonego na okres robót.</w:t>
      </w:r>
    </w:p>
    <w:p w:rsidR="0034055A" w:rsidRPr="007078D3" w:rsidRDefault="0034055A" w:rsidP="00196DDD">
      <w:pPr>
        <w:rPr>
          <w:caps/>
          <w:color w:val="000000"/>
        </w:rPr>
      </w:pPr>
      <w:r w:rsidRPr="007078D3">
        <w:rPr>
          <w:caps/>
          <w:color w:val="000000"/>
        </w:rPr>
        <w:lastRenderedPageBreak/>
        <w:t>6. KONTROLA JAKOŚCI ROBÓT</w:t>
      </w:r>
    </w:p>
    <w:p w:rsidR="0034055A" w:rsidRPr="007078D3" w:rsidRDefault="0034055A" w:rsidP="00196DDD">
      <w:pPr>
        <w:rPr>
          <w:color w:val="000000"/>
        </w:rPr>
      </w:pPr>
      <w:bookmarkStart w:id="1268" w:name="_Toc344981399"/>
      <w:r w:rsidRPr="007078D3">
        <w:rPr>
          <w:color w:val="000000"/>
        </w:rPr>
        <w:t>6.1. Ogólne zasady kontroli jakości robót</w:t>
      </w:r>
      <w:bookmarkEnd w:id="1268"/>
    </w:p>
    <w:p w:rsidR="0034055A" w:rsidRPr="007078D3" w:rsidRDefault="0034055A" w:rsidP="00196DDD">
      <w:pPr>
        <w:rPr>
          <w:color w:val="000000"/>
        </w:rPr>
      </w:pPr>
      <w:r w:rsidRPr="007078D3">
        <w:rPr>
          <w:color w:val="000000"/>
        </w:rPr>
        <w:t xml:space="preserve">            Ogólne zasady kontroli jakości robót podano w </w:t>
      </w:r>
      <w:r w:rsidR="00985629">
        <w:rPr>
          <w:color w:val="000000"/>
        </w:rPr>
        <w:t>SST</w:t>
      </w:r>
      <w:r w:rsidRPr="007078D3">
        <w:rPr>
          <w:color w:val="000000"/>
        </w:rPr>
        <w:t>   D-M-00.00.00 „Wymagania ogólne” [1], pkt 6.</w:t>
      </w:r>
    </w:p>
    <w:p w:rsidR="0034055A" w:rsidRPr="007078D3" w:rsidRDefault="0034055A" w:rsidP="00196DDD">
      <w:pPr>
        <w:rPr>
          <w:color w:val="000000"/>
        </w:rPr>
      </w:pPr>
      <w:r w:rsidRPr="007078D3">
        <w:rPr>
          <w:color w:val="000000"/>
        </w:rPr>
        <w:t>6.2. Badania przed przystąpieniem do robót</w:t>
      </w:r>
    </w:p>
    <w:p w:rsidR="0034055A" w:rsidRPr="007078D3" w:rsidRDefault="0034055A" w:rsidP="00196DDD">
      <w:pPr>
        <w:rPr>
          <w:color w:val="000000"/>
        </w:rPr>
      </w:pPr>
      <w:r w:rsidRPr="007078D3">
        <w:rPr>
          <w:color w:val="000000"/>
        </w:rPr>
        <w:t>            Przed przystąpieniem do robót Wykonawca powinien:</w:t>
      </w:r>
    </w:p>
    <w:p w:rsidR="0034055A" w:rsidRPr="007078D3" w:rsidRDefault="0034055A" w:rsidP="00196DDD">
      <w:pPr>
        <w:rPr>
          <w:color w:val="000000"/>
        </w:rPr>
      </w:pPr>
      <w:r w:rsidRPr="007078D3">
        <w:rPr>
          <w:color w:val="000000"/>
        </w:rPr>
        <w:t>-     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rsidR="0034055A" w:rsidRPr="007078D3" w:rsidRDefault="0034055A" w:rsidP="00196DDD">
      <w:pPr>
        <w:rPr>
          <w:color w:val="000000"/>
        </w:rPr>
      </w:pPr>
      <w:r w:rsidRPr="007078D3">
        <w:rPr>
          <w:color w:val="000000"/>
        </w:rPr>
        <w:t xml:space="preserve">-     wykonać badania kruszyw przeznaczonych do wykonania robót, obejmujące wszystkie właściwości określone w tabeli 1 niniejszej </w:t>
      </w:r>
      <w:r w:rsidR="00985629">
        <w:rPr>
          <w:color w:val="000000"/>
        </w:rPr>
        <w:t>SST</w:t>
      </w:r>
      <w:r w:rsidRPr="007078D3">
        <w:rPr>
          <w:color w:val="000000"/>
        </w:rPr>
        <w:t>.</w:t>
      </w:r>
    </w:p>
    <w:p w:rsidR="0034055A" w:rsidRPr="007078D3" w:rsidRDefault="0034055A" w:rsidP="00196DDD">
      <w:pPr>
        <w:rPr>
          <w:color w:val="000000"/>
        </w:rPr>
      </w:pPr>
      <w:r w:rsidRPr="007078D3">
        <w:rPr>
          <w:color w:val="000000"/>
        </w:rPr>
        <w:t>            Wszystkie dokumenty oraz wyniki badań Wykonawca przedstawia Inżynierowi do akceptacji.</w:t>
      </w:r>
    </w:p>
    <w:p w:rsidR="0034055A" w:rsidRPr="007078D3" w:rsidRDefault="0034055A" w:rsidP="00196DDD">
      <w:pPr>
        <w:rPr>
          <w:color w:val="000000"/>
        </w:rPr>
      </w:pPr>
      <w:r w:rsidRPr="007078D3">
        <w:rPr>
          <w:color w:val="000000"/>
        </w:rPr>
        <w:t>6.3. Badania w czasie robót</w:t>
      </w:r>
    </w:p>
    <w:p w:rsidR="0034055A" w:rsidRPr="007078D3" w:rsidRDefault="0034055A" w:rsidP="00196DDD">
      <w:pPr>
        <w:rPr>
          <w:color w:val="000000"/>
        </w:rPr>
      </w:pPr>
      <w:r w:rsidRPr="007078D3">
        <w:rPr>
          <w:color w:val="000000"/>
        </w:rPr>
        <w:t>            Częstotliwość oraz zakres badań i pomiarów, które należy wykonać w czasie robót podaje tabela 5.</w:t>
      </w:r>
    </w:p>
    <w:p w:rsidR="0034055A" w:rsidRPr="007078D3" w:rsidRDefault="0034055A" w:rsidP="00196DDD">
      <w:pPr>
        <w:rPr>
          <w:color w:val="000000"/>
        </w:rPr>
      </w:pPr>
      <w:r w:rsidRPr="007078D3">
        <w:rPr>
          <w:color w:val="000000"/>
        </w:rPr>
        <w:t>Tabela 5. Częstotliwość oraz zakres badań i pomiarów w czasie robót</w:t>
      </w:r>
    </w:p>
    <w:tbl>
      <w:tblPr>
        <w:tblW w:w="8927" w:type="dxa"/>
        <w:shd w:val="clear" w:color="auto" w:fill="EAEAEA"/>
        <w:tblCellMar>
          <w:left w:w="0" w:type="dxa"/>
          <w:right w:w="0" w:type="dxa"/>
        </w:tblCellMar>
        <w:tblLook w:val="04A0"/>
      </w:tblPr>
      <w:tblGrid>
        <w:gridCol w:w="496"/>
        <w:gridCol w:w="3534"/>
        <w:gridCol w:w="2204"/>
        <w:gridCol w:w="2693"/>
      </w:tblGrid>
      <w:tr w:rsidR="0034055A" w:rsidRPr="00EF535A" w:rsidTr="0034055A">
        <w:tc>
          <w:tcPr>
            <w:tcW w:w="496" w:type="dxa"/>
            <w:tcBorders>
              <w:top w:val="single" w:sz="8" w:space="0" w:color="auto"/>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Lp.</w:t>
            </w:r>
          </w:p>
        </w:tc>
        <w:tc>
          <w:tcPr>
            <w:tcW w:w="3534"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Wyszczególnienie robót</w:t>
            </w:r>
          </w:p>
        </w:tc>
        <w:tc>
          <w:tcPr>
            <w:tcW w:w="2204"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Częstotliwość badań</w:t>
            </w:r>
          </w:p>
        </w:tc>
        <w:tc>
          <w:tcPr>
            <w:tcW w:w="2693"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Wartości dopuszczalne</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Lokalizacja i zgodność granic terenu robót z dokumentacją projektową</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 raz</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pkt. 5</w:t>
            </w:r>
          </w:p>
          <w:p w:rsidR="0034055A" w:rsidRPr="00EF535A" w:rsidRDefault="0034055A" w:rsidP="00196DDD">
            <w:pPr>
              <w:rPr>
                <w:sz w:val="18"/>
                <w:szCs w:val="18"/>
              </w:rPr>
            </w:pPr>
            <w:r w:rsidRPr="00EF535A">
              <w:rPr>
                <w:sz w:val="18"/>
                <w:szCs w:val="18"/>
              </w:rPr>
              <w:t>i dokumentacji projektowej</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2</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Roboty przygotowawcze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Ocena ciągła</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pkt. 5.3</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3</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Właściwości kruszywa</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Dla każdej partii kruszywa  i przy każdej zmianie kruszywa</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tabeli 1</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4</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Uziarnienie mieszanki</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2 razy na dziennej działce roboczej </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tabeli 4</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5</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Wilgotność mieszanki</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6</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Zawartość pyłów w mieszance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7</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Zawartość nadziarna w mieszance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8</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Wrażliwość mieszanki na mróz, wskaźnik piaskowy</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9</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Zawartość wody w mieszance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10</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Wartość CBR po zagęszczeniu mieszanki</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10 próbek</w:t>
            </w:r>
          </w:p>
          <w:p w:rsidR="0034055A" w:rsidRPr="00EF535A" w:rsidRDefault="0034055A" w:rsidP="00196DDD">
            <w:pPr>
              <w:rPr>
                <w:sz w:val="18"/>
                <w:szCs w:val="18"/>
              </w:rPr>
            </w:pPr>
            <w:r w:rsidRPr="00EF535A">
              <w:rPr>
                <w:sz w:val="18"/>
                <w:szCs w:val="18"/>
              </w:rPr>
              <w:t>na 10 000 m</w:t>
            </w:r>
            <w:r w:rsidRPr="00EF535A">
              <w:rPr>
                <w:sz w:val="18"/>
                <w:szCs w:val="18"/>
                <w:vertAlign w:val="superscript"/>
              </w:rPr>
              <w:t>2</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bl>
    <w:p w:rsidR="0034055A" w:rsidRPr="007078D3" w:rsidRDefault="0034055A" w:rsidP="00196DDD">
      <w:pPr>
        <w:rPr>
          <w:color w:val="000000"/>
        </w:rPr>
      </w:pPr>
      <w:r w:rsidRPr="007078D3">
        <w:rPr>
          <w:color w:val="000000"/>
        </w:rPr>
        <w:t> </w:t>
      </w:r>
    </w:p>
    <w:tbl>
      <w:tblPr>
        <w:tblW w:w="8927" w:type="dxa"/>
        <w:shd w:val="clear" w:color="auto" w:fill="EAEAEA"/>
        <w:tblCellMar>
          <w:left w:w="0" w:type="dxa"/>
          <w:right w:w="0" w:type="dxa"/>
        </w:tblCellMar>
        <w:tblLook w:val="04A0"/>
      </w:tblPr>
      <w:tblGrid>
        <w:gridCol w:w="496"/>
        <w:gridCol w:w="3534"/>
        <w:gridCol w:w="2204"/>
        <w:gridCol w:w="2693"/>
      </w:tblGrid>
      <w:tr w:rsidR="0034055A" w:rsidRPr="00EF535A" w:rsidTr="0034055A">
        <w:tc>
          <w:tcPr>
            <w:tcW w:w="496" w:type="dxa"/>
            <w:tcBorders>
              <w:top w:val="single" w:sz="8" w:space="0" w:color="auto"/>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11</w:t>
            </w:r>
          </w:p>
        </w:tc>
        <w:tc>
          <w:tcPr>
            <w:tcW w:w="3534"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Inne właściwości mieszanki</w:t>
            </w:r>
          </w:p>
        </w:tc>
        <w:tc>
          <w:tcPr>
            <w:tcW w:w="2204"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ustalenia Inżyniera</w:t>
            </w:r>
          </w:p>
        </w:tc>
        <w:tc>
          <w:tcPr>
            <w:tcW w:w="2693"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12</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Cechy środowiskowe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ustalenia Inżyniera</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Jw.</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13</w:t>
            </w:r>
          </w:p>
        </w:tc>
        <w:tc>
          <w:tcPr>
            <w:tcW w:w="353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Roboty wykończeniowe</w:t>
            </w:r>
          </w:p>
        </w:tc>
        <w:tc>
          <w:tcPr>
            <w:tcW w:w="2204"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Ocena ciągła</w:t>
            </w:r>
          </w:p>
        </w:tc>
        <w:tc>
          <w:tcPr>
            <w:tcW w:w="2693" w:type="dxa"/>
            <w:tcBorders>
              <w:top w:val="nil"/>
              <w:left w:val="nil"/>
              <w:bottom w:val="single" w:sz="8" w:space="0" w:color="auto"/>
              <w:right w:val="single" w:sz="8" w:space="0" w:color="auto"/>
            </w:tcBorders>
            <w:shd w:val="clear" w:color="auto" w:fill="EAEAEA"/>
            <w:tcMar>
              <w:top w:w="0" w:type="dxa"/>
              <w:left w:w="70" w:type="dxa"/>
              <w:bottom w:w="0" w:type="dxa"/>
              <w:right w:w="70" w:type="dxa"/>
            </w:tcMar>
            <w:vAlign w:val="center"/>
            <w:hideMark/>
          </w:tcPr>
          <w:p w:rsidR="0034055A" w:rsidRPr="00EF535A" w:rsidRDefault="0034055A" w:rsidP="00196DDD">
            <w:pPr>
              <w:rPr>
                <w:sz w:val="18"/>
                <w:szCs w:val="18"/>
              </w:rPr>
            </w:pPr>
            <w:r w:rsidRPr="00EF535A">
              <w:rPr>
                <w:sz w:val="18"/>
                <w:szCs w:val="18"/>
              </w:rPr>
              <w:t>Wg </w:t>
            </w:r>
            <w:r w:rsidRPr="00EF535A">
              <w:rPr>
                <w:rStyle w:val="spelle"/>
                <w:rFonts w:ascii="Times New Roman" w:hAnsi="Times New Roman" w:cs="Times New Roman"/>
                <w:sz w:val="18"/>
                <w:szCs w:val="18"/>
              </w:rPr>
              <w:t>pktu</w:t>
            </w:r>
            <w:r w:rsidRPr="00EF535A">
              <w:rPr>
                <w:sz w:val="18"/>
                <w:szCs w:val="18"/>
              </w:rPr>
              <w:t> 5.12</w:t>
            </w:r>
          </w:p>
        </w:tc>
      </w:tr>
    </w:tbl>
    <w:p w:rsidR="0034055A" w:rsidRPr="007078D3" w:rsidRDefault="0034055A" w:rsidP="00196DDD">
      <w:pPr>
        <w:rPr>
          <w:color w:val="000000"/>
        </w:rPr>
      </w:pPr>
      <w:r w:rsidRPr="007078D3">
        <w:rPr>
          <w:color w:val="000000"/>
        </w:rPr>
        <w:t>6.4. Wymagania dotyczące cech geometrycznych podbudowy zasadniczej</w:t>
      </w:r>
    </w:p>
    <w:p w:rsidR="0034055A" w:rsidRPr="007078D3" w:rsidRDefault="0034055A" w:rsidP="00196DDD">
      <w:pPr>
        <w:rPr>
          <w:color w:val="000000"/>
        </w:rPr>
      </w:pPr>
      <w:r w:rsidRPr="007078D3">
        <w:rPr>
          <w:color w:val="000000"/>
        </w:rPr>
        <w:t>Częstotliwość oraz zakres badań i pomiarów dotyczących cech geometrycznych warstwy z mieszanki niezwiązanej podaje tabela 6.</w:t>
      </w:r>
    </w:p>
    <w:p w:rsidR="0034055A" w:rsidRPr="007078D3" w:rsidRDefault="0034055A" w:rsidP="00196DDD">
      <w:pPr>
        <w:rPr>
          <w:color w:val="000000"/>
        </w:rPr>
      </w:pPr>
      <w:r w:rsidRPr="007078D3">
        <w:rPr>
          <w:color w:val="000000"/>
        </w:rPr>
        <w:t>Tabela 6. Częstotliwość oraz zakres badań i pomiarów dotyczących cech geometrycznych</w:t>
      </w:r>
    </w:p>
    <w:tbl>
      <w:tblPr>
        <w:tblW w:w="8950" w:type="dxa"/>
        <w:shd w:val="clear" w:color="auto" w:fill="EAEAEA"/>
        <w:tblCellMar>
          <w:left w:w="0" w:type="dxa"/>
          <w:right w:w="0" w:type="dxa"/>
        </w:tblCellMar>
        <w:tblLook w:val="04A0"/>
      </w:tblPr>
      <w:tblGrid>
        <w:gridCol w:w="496"/>
        <w:gridCol w:w="3414"/>
        <w:gridCol w:w="2280"/>
        <w:gridCol w:w="2760"/>
      </w:tblGrid>
      <w:tr w:rsidR="0034055A" w:rsidRPr="00EF535A" w:rsidTr="0034055A">
        <w:tc>
          <w:tcPr>
            <w:tcW w:w="496" w:type="dxa"/>
            <w:tcBorders>
              <w:top w:val="single" w:sz="8" w:space="0" w:color="auto"/>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Lp.</w:t>
            </w:r>
          </w:p>
        </w:tc>
        <w:tc>
          <w:tcPr>
            <w:tcW w:w="3414"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Wyszczególnienie badań i pomiarów</w:t>
            </w:r>
          </w:p>
        </w:tc>
        <w:tc>
          <w:tcPr>
            <w:tcW w:w="2280"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Minimalna częstotliwość badań i pomiarów</w:t>
            </w:r>
          </w:p>
        </w:tc>
        <w:tc>
          <w:tcPr>
            <w:tcW w:w="2760" w:type="dxa"/>
            <w:tcBorders>
              <w:top w:val="single" w:sz="8" w:space="0" w:color="auto"/>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Dopuszczalne odchyłki</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1</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Szerokość warstwy</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10 razy na 1 km</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+10 cm, -5 cm (różnice od szerokości projektowej)</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2</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Równość podłużna</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[22]</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[22]</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3</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Równość poprzeczna</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[22]</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[22]</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4</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Spadki poprzeczne </w:t>
            </w:r>
            <w:r w:rsidRPr="00EF535A">
              <w:rPr>
                <w:sz w:val="18"/>
                <w:szCs w:val="18"/>
                <w:vertAlign w:val="superscript"/>
              </w:rPr>
              <w:t>*)</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10 razy na 1 km</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0,5% (dopuszczalna tolerancja od spadków projektowych)</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5</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Rzędne wysokościowe</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[22]</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Wg [22]</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6</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Ukształtowanie osi w planie </w:t>
            </w:r>
            <w:r w:rsidRPr="00EF535A">
              <w:rPr>
                <w:sz w:val="18"/>
                <w:szCs w:val="18"/>
                <w:vertAlign w:val="superscript"/>
              </w:rPr>
              <w:t>*)</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Co 100 m</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Przesunięcie od osi projektowanej ± 5 cm</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7</w:t>
            </w:r>
          </w:p>
        </w:tc>
        <w:tc>
          <w:tcPr>
            <w:tcW w:w="341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Grubość warstwy</w:t>
            </w:r>
          </w:p>
        </w:tc>
        <w:tc>
          <w:tcPr>
            <w:tcW w:w="228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w 3 punktach na działce roboczej, lecz nie rzadziej niż raz na 2000 m</w:t>
            </w:r>
            <w:r w:rsidRPr="00EF535A">
              <w:rPr>
                <w:sz w:val="18"/>
                <w:szCs w:val="18"/>
                <w:vertAlign w:val="superscript"/>
              </w:rPr>
              <w:t>2</w:t>
            </w:r>
          </w:p>
        </w:tc>
        <w:tc>
          <w:tcPr>
            <w:tcW w:w="2760"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34055A" w:rsidRPr="00EF535A" w:rsidRDefault="0034055A" w:rsidP="00196DDD">
            <w:pPr>
              <w:rPr>
                <w:sz w:val="18"/>
                <w:szCs w:val="18"/>
              </w:rPr>
            </w:pPr>
            <w:r w:rsidRPr="00EF535A">
              <w:rPr>
                <w:sz w:val="18"/>
                <w:szCs w:val="18"/>
              </w:rPr>
              <w:t>Różnice od grubości projektowanej ±10%          </w:t>
            </w:r>
          </w:p>
          <w:p w:rsidR="0034055A" w:rsidRPr="00EF535A" w:rsidRDefault="0034055A" w:rsidP="00196DDD">
            <w:pPr>
              <w:rPr>
                <w:sz w:val="18"/>
                <w:szCs w:val="18"/>
              </w:rPr>
            </w:pPr>
            <w:r w:rsidRPr="00EF535A">
              <w:rPr>
                <w:sz w:val="18"/>
                <w:szCs w:val="18"/>
              </w:rPr>
              <w:t> </w:t>
            </w:r>
          </w:p>
        </w:tc>
      </w:tr>
    </w:tbl>
    <w:p w:rsidR="0034055A" w:rsidRPr="007078D3" w:rsidRDefault="0034055A" w:rsidP="00196DDD">
      <w:pPr>
        <w:rPr>
          <w:color w:val="000000"/>
        </w:rPr>
      </w:pPr>
      <w:r w:rsidRPr="007078D3">
        <w:rPr>
          <w:color w:val="000000"/>
        </w:rPr>
        <w:t>*) Dodatkowe pomiary spadków poprzecznych i ukształtowania osi w planie należy wykonać w punktach głównych łuków poziomych.</w:t>
      </w:r>
    </w:p>
    <w:p w:rsidR="0034055A" w:rsidRPr="007078D3" w:rsidRDefault="0034055A" w:rsidP="00196DDD">
      <w:pPr>
        <w:rPr>
          <w:color w:val="000000"/>
        </w:rPr>
      </w:pPr>
      <w:r w:rsidRPr="007078D3">
        <w:rPr>
          <w:color w:val="000000"/>
        </w:rPr>
        <w:t>6.5. </w:t>
      </w:r>
      <w:bookmarkStart w:id="1269" w:name="_Hlk112161306"/>
      <w:r w:rsidRPr="007078D3">
        <w:rPr>
          <w:color w:val="000000"/>
        </w:rPr>
        <w:t>Wymagania dotyczące zagęszczenia warstwy podbudowy zasadniczej nawierzchni podatnej</w:t>
      </w:r>
      <w:bookmarkEnd w:id="1269"/>
    </w:p>
    <w:p w:rsidR="0034055A" w:rsidRPr="007078D3" w:rsidRDefault="0034055A" w:rsidP="00196DDD">
      <w:pPr>
        <w:rPr>
          <w:color w:val="000000"/>
        </w:rPr>
      </w:pPr>
      <w:r w:rsidRPr="007078D3">
        <w:rPr>
          <w:color w:val="000000"/>
        </w:rPr>
        <w:t>Kontrolę zagęszczenia i nośności podbudowy należy oprzeć na metodzie obciążeń płytowych za pomocą płyty VSS o średnicy 30 cm.</w:t>
      </w:r>
    </w:p>
    <w:p w:rsidR="0034055A" w:rsidRPr="007078D3" w:rsidRDefault="0034055A" w:rsidP="00196DDD">
      <w:pPr>
        <w:rPr>
          <w:color w:val="000000"/>
        </w:rPr>
      </w:pPr>
      <w:r w:rsidRPr="007078D3">
        <w:rPr>
          <w:color w:val="000000"/>
        </w:rPr>
        <w:t> Jeśli dokumentacja projektowa lub ST nie mówi inaczej wskaźnik zagęszczenia nie powinien być mniejszy od 1,00 dla dróg kategorii ruchu KR1 - KR4 i od 1,03 dla dróg kategorii ruchu KR5 - KR7). Zagęszczenie podbudowy stabilizowanej mechanicznie należy uznać za prawidłowe, gdy stosunek wtórnego modułu E</w:t>
      </w:r>
      <w:r w:rsidRPr="007078D3">
        <w:rPr>
          <w:color w:val="000000"/>
          <w:vertAlign w:val="subscript"/>
        </w:rPr>
        <w:t>2</w:t>
      </w:r>
      <w:r w:rsidRPr="007078D3">
        <w:rPr>
          <w:color w:val="000000"/>
        </w:rPr>
        <w:t> do pierwotnego modułu odkształcenia E</w:t>
      </w:r>
      <w:r w:rsidRPr="007078D3">
        <w:rPr>
          <w:color w:val="000000"/>
          <w:vertAlign w:val="subscript"/>
        </w:rPr>
        <w:t>1</w:t>
      </w:r>
      <w:r w:rsidRPr="007078D3">
        <w:rPr>
          <w:color w:val="000000"/>
        </w:rPr>
        <w:t> jest nie większy od 2,2 dla każdej warstwy konstrukcyjnej podbudowy.</w:t>
      </w:r>
    </w:p>
    <w:p w:rsidR="0034055A" w:rsidRPr="007078D3" w:rsidRDefault="0034055A" w:rsidP="00196DDD">
      <w:pPr>
        <w:rPr>
          <w:color w:val="000000"/>
        </w:rPr>
      </w:pPr>
      <w:r w:rsidRPr="007078D3">
        <w:rPr>
          <w:color w:val="000000"/>
        </w:rPr>
        <w:t>Jeśli dokumentacja projektowa lub ST nie mówi inaczej należy przyjąć nośności podbudowy zasadniczej określone w Tabeli 7 na podstawie typowych konstrukcji nawierzchni podatnych w Katalogu [23].</w:t>
      </w:r>
    </w:p>
    <w:p w:rsidR="0034055A" w:rsidRPr="007078D3" w:rsidRDefault="0034055A" w:rsidP="00196DDD">
      <w:pPr>
        <w:rPr>
          <w:color w:val="000000"/>
        </w:rPr>
      </w:pPr>
      <w:r w:rsidRPr="007078D3">
        <w:rPr>
          <w:color w:val="000000"/>
        </w:rPr>
        <w:t>Tabela 7. Typowe wartości nośności podbudowy zasadniczej [23]</w:t>
      </w:r>
    </w:p>
    <w:tbl>
      <w:tblPr>
        <w:tblW w:w="0" w:type="auto"/>
        <w:shd w:val="clear" w:color="auto" w:fill="EAEAEA"/>
        <w:tblCellMar>
          <w:left w:w="0" w:type="dxa"/>
          <w:right w:w="0" w:type="dxa"/>
        </w:tblCellMar>
        <w:tblLook w:val="04A0"/>
      </w:tblPr>
      <w:tblGrid>
        <w:gridCol w:w="2231"/>
        <w:gridCol w:w="2232"/>
        <w:gridCol w:w="2232"/>
        <w:gridCol w:w="2232"/>
      </w:tblGrid>
      <w:tr w:rsidR="0034055A" w:rsidRPr="00EF535A" w:rsidTr="0034055A">
        <w:trPr>
          <w:trHeight w:val="227"/>
        </w:trPr>
        <w:tc>
          <w:tcPr>
            <w:tcW w:w="2231" w:type="dxa"/>
            <w:vMerge w:val="restart"/>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Badanie</w:t>
            </w:r>
          </w:p>
        </w:tc>
        <w:tc>
          <w:tcPr>
            <w:tcW w:w="6696" w:type="dxa"/>
            <w:gridSpan w:val="3"/>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Kategoria ruchu</w:t>
            </w:r>
          </w:p>
        </w:tc>
      </w:tr>
      <w:tr w:rsidR="0034055A" w:rsidRPr="00EF535A" w:rsidTr="0034055A">
        <w:trPr>
          <w:trHeight w:val="292"/>
        </w:trPr>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22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KR1÷ KR2</w:t>
            </w:r>
          </w:p>
        </w:tc>
        <w:tc>
          <w:tcPr>
            <w:tcW w:w="22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KR3 ÷ KR4</w:t>
            </w:r>
          </w:p>
        </w:tc>
        <w:tc>
          <w:tcPr>
            <w:tcW w:w="22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KR5 ÷ KR7</w:t>
            </w:r>
          </w:p>
        </w:tc>
      </w:tr>
      <w:tr w:rsidR="0034055A" w:rsidRPr="00EF535A" w:rsidTr="0034055A">
        <w:tc>
          <w:tcPr>
            <w:tcW w:w="2231"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Wtórny moduł odkształcenia E</w:t>
            </w:r>
            <w:r w:rsidRPr="00EF535A">
              <w:rPr>
                <w:sz w:val="18"/>
                <w:szCs w:val="18"/>
                <w:vertAlign w:val="subscript"/>
              </w:rPr>
              <w:t>2</w:t>
            </w:r>
          </w:p>
        </w:tc>
        <w:tc>
          <w:tcPr>
            <w:tcW w:w="22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130 </w:t>
            </w:r>
            <w:r w:rsidRPr="00EF535A">
              <w:rPr>
                <w:rStyle w:val="spelle"/>
                <w:rFonts w:ascii="Times New Roman" w:hAnsi="Times New Roman" w:cs="Times New Roman"/>
                <w:sz w:val="18"/>
                <w:szCs w:val="18"/>
              </w:rPr>
              <w:t>MPa</w:t>
            </w:r>
          </w:p>
        </w:tc>
        <w:tc>
          <w:tcPr>
            <w:tcW w:w="22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160 </w:t>
            </w:r>
            <w:r w:rsidRPr="00EF535A">
              <w:rPr>
                <w:rStyle w:val="spelle"/>
                <w:rFonts w:ascii="Times New Roman" w:hAnsi="Times New Roman" w:cs="Times New Roman"/>
                <w:sz w:val="18"/>
                <w:szCs w:val="18"/>
              </w:rPr>
              <w:t>MPa</w:t>
            </w:r>
          </w:p>
        </w:tc>
        <w:tc>
          <w:tcPr>
            <w:tcW w:w="2232" w:type="dxa"/>
            <w:tcBorders>
              <w:top w:val="nil"/>
              <w:left w:val="nil"/>
              <w:bottom w:val="single" w:sz="8" w:space="0" w:color="auto"/>
              <w:right w:val="single" w:sz="8" w:space="0" w:color="auto"/>
            </w:tcBorders>
            <w:shd w:val="clear" w:color="auto" w:fill="EAEAEA"/>
            <w:tcMar>
              <w:top w:w="0" w:type="dxa"/>
              <w:left w:w="108" w:type="dxa"/>
              <w:bottom w:w="0" w:type="dxa"/>
              <w:right w:w="108" w:type="dxa"/>
            </w:tcMar>
            <w:vAlign w:val="center"/>
            <w:hideMark/>
          </w:tcPr>
          <w:p w:rsidR="0034055A" w:rsidRPr="00EF535A" w:rsidRDefault="0034055A" w:rsidP="00196DDD">
            <w:pPr>
              <w:rPr>
                <w:sz w:val="18"/>
                <w:szCs w:val="18"/>
              </w:rPr>
            </w:pPr>
            <w:r w:rsidRPr="00EF535A">
              <w:rPr>
                <w:sz w:val="18"/>
                <w:szCs w:val="18"/>
              </w:rPr>
              <w:t>≥ 180 </w:t>
            </w:r>
            <w:r w:rsidRPr="00EF535A">
              <w:rPr>
                <w:rStyle w:val="spelle"/>
                <w:rFonts w:ascii="Times New Roman" w:hAnsi="Times New Roman" w:cs="Times New Roman"/>
                <w:sz w:val="18"/>
                <w:szCs w:val="18"/>
              </w:rPr>
              <w:t>MPa</w:t>
            </w:r>
          </w:p>
        </w:tc>
      </w:tr>
    </w:tbl>
    <w:p w:rsidR="0034055A" w:rsidRPr="007078D3" w:rsidRDefault="0034055A" w:rsidP="00196DDD">
      <w:pPr>
        <w:rPr>
          <w:caps/>
          <w:color w:val="000000"/>
        </w:rPr>
      </w:pPr>
      <w:r w:rsidRPr="007078D3">
        <w:rPr>
          <w:caps/>
          <w:color w:val="000000"/>
        </w:rPr>
        <w:t>7. OBMIAR ROBÓT</w:t>
      </w:r>
    </w:p>
    <w:p w:rsidR="0034055A" w:rsidRPr="007078D3" w:rsidRDefault="0034055A" w:rsidP="00196DDD">
      <w:pPr>
        <w:rPr>
          <w:color w:val="000000"/>
        </w:rPr>
      </w:pPr>
      <w:bookmarkStart w:id="1270" w:name="_Toc344981400"/>
      <w:r w:rsidRPr="007078D3">
        <w:rPr>
          <w:color w:val="000000"/>
        </w:rPr>
        <w:t>7.1. Ogólne zasady obmiaru robót</w:t>
      </w:r>
      <w:bookmarkEnd w:id="1270"/>
    </w:p>
    <w:p w:rsidR="0034055A" w:rsidRPr="007078D3" w:rsidRDefault="0034055A" w:rsidP="00196DDD">
      <w:pPr>
        <w:rPr>
          <w:color w:val="000000"/>
        </w:rPr>
      </w:pPr>
      <w:r w:rsidRPr="007078D3">
        <w:rPr>
          <w:color w:val="000000"/>
        </w:rPr>
        <w:lastRenderedPageBreak/>
        <w:t xml:space="preserve">            Ogólne zasady obmiaru robót podano w </w:t>
      </w:r>
      <w:r w:rsidR="00985629">
        <w:rPr>
          <w:color w:val="000000"/>
        </w:rPr>
        <w:t>SST</w:t>
      </w:r>
      <w:r w:rsidRPr="007078D3">
        <w:rPr>
          <w:color w:val="000000"/>
        </w:rPr>
        <w:t>  D-M-00.00.00 „Wymagania ogólne” [1], pkt 7.</w:t>
      </w:r>
    </w:p>
    <w:p w:rsidR="0034055A" w:rsidRPr="007078D3" w:rsidRDefault="0034055A" w:rsidP="00196DDD">
      <w:pPr>
        <w:rPr>
          <w:color w:val="000000"/>
        </w:rPr>
      </w:pPr>
      <w:r w:rsidRPr="007078D3">
        <w:rPr>
          <w:color w:val="000000"/>
        </w:rPr>
        <w:t>7.2. Jednostka obmiarowa</w:t>
      </w:r>
    </w:p>
    <w:p w:rsidR="0034055A" w:rsidRPr="007078D3" w:rsidRDefault="0034055A" w:rsidP="00196DDD">
      <w:pPr>
        <w:rPr>
          <w:color w:val="000000"/>
        </w:rPr>
      </w:pPr>
      <w:r w:rsidRPr="007078D3">
        <w:rPr>
          <w:color w:val="000000"/>
        </w:rPr>
        <w:t>            Jednostką obmiarową jest m</w:t>
      </w:r>
      <w:r w:rsidRPr="007078D3">
        <w:rPr>
          <w:color w:val="000000"/>
          <w:vertAlign w:val="superscript"/>
        </w:rPr>
        <w:t>2</w:t>
      </w:r>
      <w:r w:rsidRPr="007078D3">
        <w:rPr>
          <w:color w:val="000000"/>
        </w:rPr>
        <w:t> (metr kwadratowy) wykonanej warstwy.</w:t>
      </w:r>
    </w:p>
    <w:p w:rsidR="0034055A" w:rsidRPr="007078D3" w:rsidRDefault="0034055A" w:rsidP="00196DDD">
      <w:pPr>
        <w:rPr>
          <w:caps/>
          <w:color w:val="000000"/>
        </w:rPr>
      </w:pPr>
      <w:r w:rsidRPr="007078D3">
        <w:rPr>
          <w:caps/>
          <w:color w:val="000000"/>
        </w:rPr>
        <w:t>8. ODBIÓR ROBÓT</w:t>
      </w:r>
    </w:p>
    <w:p w:rsidR="0034055A" w:rsidRPr="007078D3" w:rsidRDefault="0034055A" w:rsidP="00196DDD">
      <w:pPr>
        <w:rPr>
          <w:color w:val="000000"/>
        </w:rPr>
      </w:pPr>
      <w:bookmarkStart w:id="1271" w:name="_Toc344981401"/>
      <w:r w:rsidRPr="007078D3">
        <w:rPr>
          <w:color w:val="000000"/>
        </w:rPr>
        <w:t xml:space="preserve">Ogólne zasady odbioru robót podano w </w:t>
      </w:r>
      <w:r w:rsidR="00985629">
        <w:rPr>
          <w:color w:val="000000"/>
        </w:rPr>
        <w:t>SST</w:t>
      </w:r>
      <w:r w:rsidRPr="007078D3">
        <w:rPr>
          <w:color w:val="000000"/>
        </w:rPr>
        <w:t>  D-M-00.00.00 „Wymagania ogólne” [1], pkt 8.</w:t>
      </w:r>
      <w:bookmarkEnd w:id="1271"/>
    </w:p>
    <w:p w:rsidR="0034055A" w:rsidRPr="007078D3" w:rsidRDefault="0034055A" w:rsidP="00196DDD">
      <w:pPr>
        <w:rPr>
          <w:color w:val="000000"/>
        </w:rPr>
      </w:pPr>
      <w:r w:rsidRPr="007078D3">
        <w:rPr>
          <w:color w:val="000000"/>
        </w:rPr>
        <w:t>            Roboty uznaje się za wykonane zgodnie z dokumentacją projektową, ST i wymaganiami Inżyniera, jeżeli wszystkie pomiary i badania z zachowaniem tolerancji według punktu 6 dały wyniki pozytywne.</w:t>
      </w:r>
    </w:p>
    <w:p w:rsidR="0034055A" w:rsidRPr="007078D3" w:rsidRDefault="0034055A" w:rsidP="00196DDD">
      <w:pPr>
        <w:rPr>
          <w:caps/>
          <w:color w:val="000000"/>
        </w:rPr>
      </w:pPr>
      <w:r w:rsidRPr="007078D3">
        <w:rPr>
          <w:caps/>
          <w:color w:val="000000"/>
        </w:rPr>
        <w:t>9. PODSTAWA PŁATNOŚCI</w:t>
      </w:r>
    </w:p>
    <w:p w:rsidR="0034055A" w:rsidRPr="007078D3" w:rsidRDefault="0034055A" w:rsidP="00196DDD">
      <w:pPr>
        <w:rPr>
          <w:color w:val="000000"/>
        </w:rPr>
      </w:pPr>
      <w:bookmarkStart w:id="1272" w:name="_Toc344981402"/>
      <w:r w:rsidRPr="007078D3">
        <w:rPr>
          <w:color w:val="000000"/>
        </w:rPr>
        <w:t>9.1. Ogólne ustalenia dotyczące podstawy płatności</w:t>
      </w:r>
      <w:bookmarkEnd w:id="1272"/>
    </w:p>
    <w:p w:rsidR="0034055A" w:rsidRPr="007078D3" w:rsidRDefault="0034055A" w:rsidP="00196DDD">
      <w:pPr>
        <w:rPr>
          <w:color w:val="000000"/>
        </w:rPr>
      </w:pPr>
      <w:r w:rsidRPr="007078D3">
        <w:rPr>
          <w:color w:val="000000"/>
        </w:rPr>
        <w:t xml:space="preserve">            Ogólne ustalenia dotyczące podstawy płatności podano w </w:t>
      </w:r>
      <w:r w:rsidR="00985629">
        <w:rPr>
          <w:color w:val="000000"/>
        </w:rPr>
        <w:t>SST</w:t>
      </w:r>
      <w:r w:rsidRPr="007078D3">
        <w:rPr>
          <w:color w:val="000000"/>
        </w:rPr>
        <w:t xml:space="preserve"> D-M-00.00.00 „Wymagania ogólne” [1], pkt 9.</w:t>
      </w:r>
    </w:p>
    <w:p w:rsidR="0034055A" w:rsidRPr="007078D3" w:rsidRDefault="0034055A" w:rsidP="00196DDD">
      <w:pPr>
        <w:rPr>
          <w:color w:val="000000"/>
        </w:rPr>
      </w:pPr>
      <w:r w:rsidRPr="007078D3">
        <w:rPr>
          <w:color w:val="000000"/>
        </w:rPr>
        <w:t>9.2. Cena jednostki obmiarowej</w:t>
      </w:r>
    </w:p>
    <w:p w:rsidR="0034055A" w:rsidRPr="007078D3" w:rsidRDefault="0034055A" w:rsidP="00196DDD">
      <w:pPr>
        <w:rPr>
          <w:color w:val="000000"/>
        </w:rPr>
      </w:pPr>
      <w:r w:rsidRPr="007078D3">
        <w:rPr>
          <w:color w:val="000000"/>
        </w:rPr>
        <w:t>            Cena wykonania  jednostki obmiarowej (1 m</w:t>
      </w:r>
      <w:r w:rsidRPr="007078D3">
        <w:rPr>
          <w:color w:val="000000"/>
          <w:vertAlign w:val="superscript"/>
        </w:rPr>
        <w:t>2</w:t>
      </w:r>
      <w:r w:rsidRPr="007078D3">
        <w:rPr>
          <w:color w:val="000000"/>
        </w:rPr>
        <w:t>) obejmuje:</w:t>
      </w:r>
    </w:p>
    <w:p w:rsidR="0034055A" w:rsidRPr="007078D3" w:rsidRDefault="0034055A" w:rsidP="00196DDD">
      <w:pPr>
        <w:rPr>
          <w:color w:val="000000"/>
        </w:rPr>
      </w:pPr>
      <w:r w:rsidRPr="007078D3">
        <w:rPr>
          <w:color w:val="000000"/>
        </w:rPr>
        <w:t>-     prace pomiarowe i roboty przygotowawcze,</w:t>
      </w:r>
    </w:p>
    <w:p w:rsidR="0034055A" w:rsidRPr="007078D3" w:rsidRDefault="0034055A" w:rsidP="00196DDD">
      <w:pPr>
        <w:rPr>
          <w:color w:val="000000"/>
        </w:rPr>
      </w:pPr>
      <w:r w:rsidRPr="007078D3">
        <w:rPr>
          <w:color w:val="000000"/>
        </w:rPr>
        <w:t>-     oznakowanie robót,</w:t>
      </w:r>
    </w:p>
    <w:p w:rsidR="0034055A" w:rsidRPr="007078D3" w:rsidRDefault="0034055A" w:rsidP="00196DDD">
      <w:pPr>
        <w:rPr>
          <w:color w:val="000000"/>
        </w:rPr>
      </w:pPr>
      <w:r w:rsidRPr="007078D3">
        <w:rPr>
          <w:color w:val="000000"/>
        </w:rPr>
        <w:t>-     dostarczenie materiałów i sprzętu,</w:t>
      </w:r>
    </w:p>
    <w:p w:rsidR="0034055A" w:rsidRPr="007078D3" w:rsidRDefault="0034055A" w:rsidP="00196DDD">
      <w:pPr>
        <w:rPr>
          <w:color w:val="000000"/>
        </w:rPr>
      </w:pPr>
      <w:r w:rsidRPr="007078D3">
        <w:rPr>
          <w:color w:val="000000"/>
        </w:rPr>
        <w:t>-     przygotowanie mieszanki z kruszywa, zgodnie z receptą,</w:t>
      </w:r>
    </w:p>
    <w:p w:rsidR="0034055A" w:rsidRPr="007078D3" w:rsidRDefault="0034055A" w:rsidP="00196DDD">
      <w:pPr>
        <w:rPr>
          <w:color w:val="000000"/>
        </w:rPr>
      </w:pPr>
      <w:r w:rsidRPr="007078D3">
        <w:rPr>
          <w:color w:val="000000"/>
        </w:rPr>
        <w:t>-     dostarczenie mieszanki na miejsce wbudowania,</w:t>
      </w:r>
    </w:p>
    <w:p w:rsidR="0034055A" w:rsidRPr="007078D3" w:rsidRDefault="0034055A" w:rsidP="00196DDD">
      <w:pPr>
        <w:rPr>
          <w:color w:val="000000"/>
        </w:rPr>
      </w:pPr>
      <w:r w:rsidRPr="007078D3">
        <w:rPr>
          <w:color w:val="000000"/>
        </w:rPr>
        <w:t>-     rozłożenie mieszanki,</w:t>
      </w:r>
    </w:p>
    <w:p w:rsidR="0034055A" w:rsidRPr="007078D3" w:rsidRDefault="0034055A" w:rsidP="00196DDD">
      <w:pPr>
        <w:rPr>
          <w:color w:val="000000"/>
        </w:rPr>
      </w:pPr>
      <w:r w:rsidRPr="007078D3">
        <w:rPr>
          <w:color w:val="000000"/>
        </w:rPr>
        <w:t>-     zagęszczenie mieszanki,</w:t>
      </w:r>
    </w:p>
    <w:p w:rsidR="0034055A" w:rsidRPr="007078D3" w:rsidRDefault="0034055A" w:rsidP="00196DDD">
      <w:pPr>
        <w:rPr>
          <w:color w:val="000000"/>
        </w:rPr>
      </w:pPr>
      <w:r w:rsidRPr="007078D3">
        <w:rPr>
          <w:color w:val="000000"/>
        </w:rPr>
        <w:t>-     utrzymanie warstwy w czasie robót, ew. impregnacja warstwy,</w:t>
      </w:r>
    </w:p>
    <w:p w:rsidR="0034055A" w:rsidRPr="007078D3" w:rsidRDefault="0034055A" w:rsidP="00196DDD">
      <w:pPr>
        <w:rPr>
          <w:color w:val="000000"/>
        </w:rPr>
      </w:pPr>
      <w:r w:rsidRPr="007078D3">
        <w:rPr>
          <w:color w:val="000000"/>
        </w:rPr>
        <w:t>-     przeprowadzenie wymaganych  pomiarów i badań,</w:t>
      </w:r>
    </w:p>
    <w:p w:rsidR="0034055A" w:rsidRPr="007078D3" w:rsidRDefault="0034055A" w:rsidP="00196DDD">
      <w:pPr>
        <w:rPr>
          <w:color w:val="000000"/>
        </w:rPr>
      </w:pPr>
      <w:r w:rsidRPr="007078D3">
        <w:rPr>
          <w:color w:val="000000"/>
        </w:rPr>
        <w:t>-     uporządkowanie terenu robót i jego otoczenia,</w:t>
      </w:r>
    </w:p>
    <w:p w:rsidR="0034055A" w:rsidRPr="007078D3" w:rsidRDefault="0034055A" w:rsidP="00196DDD">
      <w:pPr>
        <w:rPr>
          <w:color w:val="000000"/>
        </w:rPr>
      </w:pPr>
      <w:r w:rsidRPr="007078D3">
        <w:rPr>
          <w:color w:val="000000"/>
        </w:rPr>
        <w:t>-     roboty wykończeniowe,</w:t>
      </w:r>
    </w:p>
    <w:p w:rsidR="0034055A" w:rsidRPr="007078D3" w:rsidRDefault="0034055A" w:rsidP="00196DDD">
      <w:pPr>
        <w:rPr>
          <w:color w:val="000000"/>
        </w:rPr>
      </w:pPr>
      <w:r w:rsidRPr="007078D3">
        <w:rPr>
          <w:color w:val="000000"/>
        </w:rPr>
        <w:t>-     odwiezienie sprzętu.</w:t>
      </w:r>
    </w:p>
    <w:p w:rsidR="0034055A" w:rsidRPr="007078D3" w:rsidRDefault="0034055A" w:rsidP="00196DDD">
      <w:pPr>
        <w:rPr>
          <w:color w:val="000000"/>
        </w:rPr>
      </w:pPr>
      <w:r w:rsidRPr="007078D3">
        <w:rPr>
          <w:color w:val="000000"/>
        </w:rPr>
        <w:t>Wszystkie roboty powinny być wykonane według wymagań dokumentacji projektowej, ST, specyfikacji technicznej i postanowień Inżyniera.</w:t>
      </w:r>
    </w:p>
    <w:p w:rsidR="0034055A" w:rsidRPr="007078D3" w:rsidRDefault="0034055A" w:rsidP="00196DDD">
      <w:pPr>
        <w:rPr>
          <w:color w:val="000000"/>
        </w:rPr>
      </w:pPr>
      <w:r w:rsidRPr="007078D3">
        <w:rPr>
          <w:color w:val="000000"/>
        </w:rPr>
        <w:t>9.3. Sposób rozliczenia robót tymczasowych i prac towarzyszących</w:t>
      </w:r>
    </w:p>
    <w:p w:rsidR="0034055A" w:rsidRPr="007078D3" w:rsidRDefault="0034055A" w:rsidP="00196DDD">
      <w:pPr>
        <w:rPr>
          <w:color w:val="000000"/>
        </w:rPr>
      </w:pPr>
      <w:r w:rsidRPr="007078D3">
        <w:rPr>
          <w:color w:val="000000"/>
        </w:rPr>
        <w:t xml:space="preserve">            Cena wykonania robót określonych niniejszą </w:t>
      </w:r>
      <w:r w:rsidR="00985629">
        <w:rPr>
          <w:color w:val="000000"/>
        </w:rPr>
        <w:t>SST</w:t>
      </w:r>
      <w:r w:rsidRPr="007078D3">
        <w:rPr>
          <w:color w:val="000000"/>
        </w:rPr>
        <w:t xml:space="preserve"> obejmuje:</w:t>
      </w:r>
    </w:p>
    <w:p w:rsidR="0034055A" w:rsidRPr="007078D3" w:rsidRDefault="0034055A" w:rsidP="00196DDD">
      <w:pPr>
        <w:rPr>
          <w:color w:val="000000"/>
        </w:rPr>
      </w:pPr>
      <w:r w:rsidRPr="007078D3">
        <w:rPr>
          <w:color w:val="000000"/>
        </w:rPr>
        <w:t>-     roboty tymczasowe, które są potrzebne do wykonania robót podstawowych, ale nie są przekazywane Zamawiającemu i są usuwane po wykonaniu robót podstawowych,</w:t>
      </w:r>
    </w:p>
    <w:p w:rsidR="0034055A" w:rsidRPr="007078D3" w:rsidRDefault="0034055A" w:rsidP="00196DDD">
      <w:pPr>
        <w:rPr>
          <w:color w:val="000000"/>
        </w:rPr>
      </w:pPr>
      <w:r w:rsidRPr="007078D3">
        <w:rPr>
          <w:color w:val="000000"/>
        </w:rPr>
        <w:t>-     prace towarzyszące, które są niezbędne do wykonania robót podstawowych, niezaliczane do robót tymczasowych, jak geodezyjne wytyczenie robót itd.</w:t>
      </w:r>
    </w:p>
    <w:p w:rsidR="0034055A" w:rsidRPr="007078D3" w:rsidRDefault="0034055A" w:rsidP="00196DDD">
      <w:pPr>
        <w:rPr>
          <w:caps/>
          <w:color w:val="000000"/>
        </w:rPr>
      </w:pPr>
      <w:r w:rsidRPr="007078D3">
        <w:rPr>
          <w:caps/>
          <w:color w:val="000000"/>
        </w:rPr>
        <w:t>10. PRZEPISY ZWIĄZANE</w:t>
      </w:r>
    </w:p>
    <w:p w:rsidR="0034055A" w:rsidRPr="007078D3" w:rsidRDefault="0034055A" w:rsidP="00196DDD">
      <w:pPr>
        <w:rPr>
          <w:color w:val="000000"/>
        </w:rPr>
      </w:pPr>
      <w:r w:rsidRPr="007078D3">
        <w:rPr>
          <w:color w:val="000000"/>
        </w:rPr>
        <w:t>10.1. Ogólne specyfikacje techniczne (</w:t>
      </w:r>
      <w:r w:rsidR="00985629">
        <w:rPr>
          <w:color w:val="000000"/>
        </w:rPr>
        <w:t>SST</w:t>
      </w:r>
      <w:r w:rsidRPr="007078D3">
        <w:rPr>
          <w:color w:val="000000"/>
        </w:rPr>
        <w:t>)</w:t>
      </w:r>
    </w:p>
    <w:p w:rsidR="0034055A" w:rsidRPr="007078D3" w:rsidRDefault="0034055A" w:rsidP="00196DDD">
      <w:pPr>
        <w:rPr>
          <w:color w:val="000000"/>
        </w:rPr>
      </w:pPr>
      <w:r w:rsidRPr="007078D3">
        <w:rPr>
          <w:color w:val="000000"/>
        </w:rPr>
        <w:t>D-M-00.00.00 Wymagania ogólne</w:t>
      </w:r>
    </w:p>
    <w:p w:rsidR="0034055A" w:rsidRPr="007078D3" w:rsidRDefault="0034055A" w:rsidP="00196DDD">
      <w:pPr>
        <w:rPr>
          <w:color w:val="000000"/>
        </w:rPr>
      </w:pPr>
      <w:r w:rsidRPr="007078D3">
        <w:rPr>
          <w:color w:val="000000"/>
        </w:rPr>
        <w:t>D-01.00.00      Roboty przygotowawcze</w:t>
      </w:r>
    </w:p>
    <w:p w:rsidR="0034055A" w:rsidRPr="007078D3" w:rsidRDefault="0034055A" w:rsidP="00196DDD">
      <w:pPr>
        <w:rPr>
          <w:color w:val="000000"/>
        </w:rPr>
      </w:pPr>
      <w:r w:rsidRPr="007078D3">
        <w:rPr>
          <w:color w:val="000000"/>
        </w:rPr>
        <w:t>D-02.00.00      Roboty ziemne</w:t>
      </w:r>
    </w:p>
    <w:p w:rsidR="0034055A" w:rsidRPr="007078D3" w:rsidRDefault="0034055A" w:rsidP="00196DDD">
      <w:pPr>
        <w:rPr>
          <w:color w:val="000000"/>
        </w:rPr>
      </w:pPr>
      <w:r w:rsidRPr="007078D3">
        <w:rPr>
          <w:color w:val="000000"/>
        </w:rPr>
        <w:t>D-04.04.02a    Podbudowa pomocnicza z mieszanki kruszywa niezwiązanego</w:t>
      </w:r>
    </w:p>
    <w:p w:rsidR="0034055A" w:rsidRPr="007078D3" w:rsidRDefault="0034055A" w:rsidP="00196DDD">
      <w:pPr>
        <w:rPr>
          <w:color w:val="000000"/>
        </w:rPr>
      </w:pPr>
      <w:r w:rsidRPr="007078D3">
        <w:rPr>
          <w:color w:val="000000"/>
        </w:rPr>
        <w:t>10.2. Normy</w:t>
      </w:r>
    </w:p>
    <w:p w:rsidR="0034055A" w:rsidRPr="007078D3" w:rsidRDefault="0034055A" w:rsidP="00196DDD">
      <w:pPr>
        <w:rPr>
          <w:color w:val="000000"/>
        </w:rPr>
      </w:pPr>
      <w:r w:rsidRPr="007078D3">
        <w:rPr>
          <w:color w:val="000000"/>
        </w:rPr>
        <w:t>     5.      PN-EN 933-1           Badania geometrycznych właściwości kruszyw – Oznaczanie składu ziarnowego – Metoda przesiewania</w:t>
      </w:r>
    </w:p>
    <w:p w:rsidR="0034055A" w:rsidRPr="007078D3" w:rsidRDefault="0034055A" w:rsidP="00196DDD">
      <w:pPr>
        <w:rPr>
          <w:color w:val="000000"/>
        </w:rPr>
      </w:pPr>
      <w:r w:rsidRPr="007078D3">
        <w:rPr>
          <w:color w:val="000000"/>
        </w:rPr>
        <w:t>     6.      PN-EN 933-3           Badania geometrycznych właściwości kruszyw – Oznaczanie kształtu ziaren za pomocą wskaźnika płaskości</w:t>
      </w:r>
    </w:p>
    <w:p w:rsidR="0034055A" w:rsidRPr="007078D3" w:rsidRDefault="0034055A" w:rsidP="00196DDD">
      <w:pPr>
        <w:rPr>
          <w:color w:val="000000"/>
        </w:rPr>
      </w:pPr>
      <w:r w:rsidRPr="007078D3">
        <w:rPr>
          <w:color w:val="000000"/>
        </w:rPr>
        <w:t>     7.      PN-EN 933-4           Badania geometrycznych właściwości kruszyw – Oznaczanie kształtu ziaren – Wskaźnik kształtu</w:t>
      </w:r>
    </w:p>
    <w:p w:rsidR="0034055A" w:rsidRPr="007078D3" w:rsidRDefault="0034055A" w:rsidP="00196DDD">
      <w:pPr>
        <w:rPr>
          <w:color w:val="000000"/>
        </w:rPr>
      </w:pPr>
      <w:r w:rsidRPr="007078D3">
        <w:rPr>
          <w:color w:val="000000"/>
        </w:rPr>
        <w:t>     8.      PN-EN 933-5           Badania geometrycznych właściwości kruszyw – Oznaczanie procentowej zawartości ziarn o powierzchniach powstałych w wyniku przekruszenia lub łamania kruszyw grubych</w:t>
      </w:r>
    </w:p>
    <w:p w:rsidR="0034055A" w:rsidRPr="007078D3" w:rsidRDefault="0034055A" w:rsidP="00196DDD">
      <w:pPr>
        <w:rPr>
          <w:color w:val="000000"/>
        </w:rPr>
      </w:pPr>
      <w:r w:rsidRPr="007078D3">
        <w:rPr>
          <w:color w:val="000000"/>
        </w:rPr>
        <w:t>     9.      PN-EN 1097-1         Badania mechanicznych i fizycznych właściwości kruszyw – Oznaczanie odporności na ścieranie (mikro-</w:t>
      </w:r>
      <w:r w:rsidRPr="007078D3">
        <w:rPr>
          <w:rStyle w:val="spelle"/>
          <w:rFonts w:ascii="Times New Roman" w:hAnsi="Times New Roman" w:cs="Times New Roman"/>
          <w:color w:val="000000"/>
          <w:szCs w:val="20"/>
        </w:rPr>
        <w:t>Deval</w:t>
      </w:r>
      <w:r w:rsidRPr="007078D3">
        <w:rPr>
          <w:color w:val="000000"/>
        </w:rPr>
        <w:t>)</w:t>
      </w:r>
    </w:p>
    <w:p w:rsidR="0034055A" w:rsidRPr="007078D3" w:rsidRDefault="0034055A" w:rsidP="00196DDD">
      <w:pPr>
        <w:rPr>
          <w:color w:val="000000"/>
        </w:rPr>
      </w:pPr>
      <w:r w:rsidRPr="007078D3">
        <w:rPr>
          <w:color w:val="000000"/>
        </w:rPr>
        <w:t>  10.      PN-EN 1097-2         Badania mechanicznych i fizycznych właściwości kruszyw – Metody oznaczania odporności na rozdrabnianie</w:t>
      </w:r>
    </w:p>
    <w:p w:rsidR="0034055A" w:rsidRPr="007078D3" w:rsidRDefault="0034055A" w:rsidP="00196DDD">
      <w:pPr>
        <w:rPr>
          <w:color w:val="000000"/>
        </w:rPr>
      </w:pPr>
      <w:r w:rsidRPr="007078D3">
        <w:rPr>
          <w:color w:val="000000"/>
        </w:rPr>
        <w:t>  11.      PN-EN 1097-6         Badania mechanicznych i fizycznych właściwości kruszyw – Część 6: Oznaczanie gęstości ziarn i nasiąkliwości</w:t>
      </w:r>
    </w:p>
    <w:p w:rsidR="0034055A" w:rsidRPr="007078D3" w:rsidRDefault="0034055A" w:rsidP="00196DDD">
      <w:pPr>
        <w:rPr>
          <w:color w:val="000000"/>
        </w:rPr>
      </w:pPr>
      <w:r w:rsidRPr="007078D3">
        <w:rPr>
          <w:color w:val="000000"/>
        </w:rPr>
        <w:t>  12.      PN-EN 1367-1         Badania właściwości cieplnych i odporności kruszyw na działanie czynników atmosferycznych – Część 1: Oznaczanie mrozoodporności</w:t>
      </w:r>
    </w:p>
    <w:p w:rsidR="0034055A" w:rsidRPr="007078D3" w:rsidRDefault="0034055A" w:rsidP="00196DDD">
      <w:pPr>
        <w:rPr>
          <w:color w:val="000000"/>
        </w:rPr>
      </w:pPr>
      <w:r w:rsidRPr="007078D3">
        <w:rPr>
          <w:color w:val="000000"/>
        </w:rPr>
        <w:t>  13.      PN-EN 1367-3         Badania właściwości cieplnych i odporności kruszyw na działanie czynników atmosferycznych – Część 3: Badanie bazaltowej zgorzeli słonecznej metodą gotowania</w:t>
      </w:r>
    </w:p>
    <w:p w:rsidR="0034055A" w:rsidRPr="007078D3" w:rsidRDefault="0034055A" w:rsidP="00196DDD">
      <w:pPr>
        <w:rPr>
          <w:color w:val="000000"/>
        </w:rPr>
      </w:pPr>
      <w:r w:rsidRPr="007078D3">
        <w:rPr>
          <w:color w:val="000000"/>
        </w:rPr>
        <w:t>  14.      PN-EN 1744-1         Badania chemicznych właściwości kruszyw – Analiza chemiczna</w:t>
      </w:r>
    </w:p>
    <w:p w:rsidR="0034055A" w:rsidRPr="007078D3" w:rsidRDefault="0034055A" w:rsidP="00196DDD">
      <w:pPr>
        <w:rPr>
          <w:color w:val="000000"/>
        </w:rPr>
      </w:pPr>
      <w:r w:rsidRPr="007078D3">
        <w:rPr>
          <w:color w:val="000000"/>
        </w:rPr>
        <w:t>  15.      PN-EN 1744-3         Badania chemicznych właściwości kruszyw – Część 3: Przygotowanie wyciągów przez wymywanie kruszyw</w:t>
      </w:r>
    </w:p>
    <w:p w:rsidR="0034055A" w:rsidRPr="007078D3" w:rsidRDefault="0034055A" w:rsidP="00196DDD">
      <w:pPr>
        <w:rPr>
          <w:color w:val="000000"/>
        </w:rPr>
      </w:pPr>
      <w:r w:rsidRPr="007078D3">
        <w:rPr>
          <w:color w:val="000000"/>
        </w:rPr>
        <w:t>  16.      PN-EN 13242          Kruszywa do niezwiązanych i związanych hydraulicznie materiałów stosowanych w obiektach budowlanych i budownictwie drogowym</w:t>
      </w:r>
    </w:p>
    <w:p w:rsidR="0034055A" w:rsidRPr="007078D3" w:rsidRDefault="0034055A" w:rsidP="00196DDD">
      <w:pPr>
        <w:rPr>
          <w:color w:val="000000"/>
        </w:rPr>
      </w:pPr>
      <w:r w:rsidRPr="007078D3">
        <w:rPr>
          <w:color w:val="000000"/>
        </w:rPr>
        <w:t>  17.      PN-EN 13285          Mieszanki niezwiązane – Wymagania</w:t>
      </w:r>
    </w:p>
    <w:p w:rsidR="0034055A" w:rsidRPr="007078D3" w:rsidRDefault="0034055A" w:rsidP="00196DDD">
      <w:pPr>
        <w:rPr>
          <w:color w:val="000000"/>
        </w:rPr>
      </w:pPr>
      <w:r w:rsidRPr="007078D3">
        <w:rPr>
          <w:color w:val="000000"/>
        </w:rPr>
        <w:t>  18.      PN-EN 13286-2       Mieszanki niezwiązane i związane spoiwem hydraulicznym – Część 2: Metody określania gęstości i zawartości wody – Zagęszczanie metodą </w:t>
      </w:r>
      <w:r w:rsidRPr="007078D3">
        <w:rPr>
          <w:rStyle w:val="spelle"/>
          <w:rFonts w:ascii="Times New Roman" w:hAnsi="Times New Roman" w:cs="Times New Roman"/>
          <w:color w:val="000000"/>
          <w:szCs w:val="20"/>
        </w:rPr>
        <w:t>Proctora</w:t>
      </w:r>
    </w:p>
    <w:p w:rsidR="0034055A" w:rsidRPr="007078D3" w:rsidRDefault="0034055A" w:rsidP="00196DDD">
      <w:pPr>
        <w:rPr>
          <w:color w:val="000000"/>
        </w:rPr>
      </w:pPr>
      <w:r w:rsidRPr="007078D3">
        <w:rPr>
          <w:color w:val="000000"/>
        </w:rPr>
        <w:t>  19.      PN-EN 13286-47  Mieszanki niezwiązane i związane spoiwem hydraulicznym – Część 47: Metody badań dla określenia nośności, kalifornijski wskaźnik nośności CBR, natychmiastowy wskaźnik nośności i pęcznienia liniowego</w:t>
      </w:r>
    </w:p>
    <w:p w:rsidR="0034055A" w:rsidRPr="007078D3" w:rsidRDefault="0034055A" w:rsidP="00196DDD">
      <w:pPr>
        <w:rPr>
          <w:color w:val="000000"/>
        </w:rPr>
      </w:pPr>
      <w:r w:rsidRPr="007078D3">
        <w:rPr>
          <w:color w:val="000000"/>
        </w:rPr>
        <w:t>  20.      PN-EN 1008            Woda zarobowa do betonu -- Specyfikacja pobierania próbek, badanie i ocena przydatności wody zarobowej do betonu, w tym wody odzyskanej z procesów produkcji betonu</w:t>
      </w:r>
    </w:p>
    <w:p w:rsidR="0034055A" w:rsidRPr="007078D3" w:rsidRDefault="0034055A" w:rsidP="00196DDD">
      <w:pPr>
        <w:rPr>
          <w:color w:val="000000"/>
        </w:rPr>
      </w:pPr>
      <w:r w:rsidRPr="007078D3">
        <w:rPr>
          <w:color w:val="000000"/>
        </w:rPr>
        <w:lastRenderedPageBreak/>
        <w:t>10.3. Inne dokumenty</w:t>
      </w:r>
    </w:p>
    <w:p w:rsidR="0034055A" w:rsidRPr="007078D3" w:rsidRDefault="0034055A" w:rsidP="00196DDD">
      <w:pPr>
        <w:rPr>
          <w:color w:val="000000"/>
        </w:rPr>
      </w:pPr>
      <w:r w:rsidRPr="007078D3">
        <w:rPr>
          <w:color w:val="000000"/>
        </w:rPr>
        <w:t>  21.      Mieszanki niezwiązane do dróg krajowych. WT-4 2010. Wymagania techniczne (zalecone do stosowania w specyfikacji technicznej na roboty budowlane na drogach krajowych wg zarządzenia nr 102 GDDKiA z dnia 19.11.2010 r.)</w:t>
      </w:r>
    </w:p>
    <w:p w:rsidR="0034055A" w:rsidRPr="007078D3" w:rsidRDefault="0034055A" w:rsidP="00196DDD">
      <w:pPr>
        <w:rPr>
          <w:color w:val="000000"/>
        </w:rPr>
      </w:pPr>
      <w:r w:rsidRPr="007078D3">
        <w:rPr>
          <w:color w:val="000000"/>
        </w:rPr>
        <w:t>  22.      Rozporządzenie Ministra Transportu i Gospodarki Morskiej z dnia 2 marca 1999 r. w sprawie warunków technicznych, jakim powinny odpowiadać drogi publiczne i ich usytuowanie (Dz.U. nr 43, poz. 430)</w:t>
      </w:r>
    </w:p>
    <w:p w:rsidR="0034055A" w:rsidRPr="007078D3" w:rsidRDefault="0034055A" w:rsidP="00196DDD">
      <w:pPr>
        <w:rPr>
          <w:color w:val="000000"/>
        </w:rPr>
      </w:pPr>
      <w:r w:rsidRPr="007078D3">
        <w:rPr>
          <w:color w:val="000000"/>
        </w:rPr>
        <w:t>  23.      Katalog typowych konstrukcji nawierzchni podatnych i półsztywnych. Generalna Dyrekcja Dróg Publicznych, Warszawa 2014 (Załącznik do zarządzenia Nr 31 Generalnego Dyrektora Dróg Krajowych i Autostrad z dnia 16.06.2014 r.)</w:t>
      </w:r>
    </w:p>
    <w:p w:rsidR="0034055A" w:rsidRPr="007078D3" w:rsidRDefault="0034055A" w:rsidP="00196DDD">
      <w:r w:rsidRPr="007078D3">
        <w:rPr>
          <w:b/>
          <w:bCs/>
          <w:caps/>
          <w:color w:val="000000"/>
          <w:shd w:val="clear" w:color="auto" w:fill="EAEAEA"/>
        </w:rPr>
        <w:br w:type="textWrapping" w:clear="all"/>
      </w:r>
    </w:p>
    <w:p w:rsidR="0034055A" w:rsidRPr="007078D3" w:rsidRDefault="0034055A" w:rsidP="00196DDD">
      <w:pPr>
        <w:rPr>
          <w:caps/>
          <w:color w:val="000000"/>
        </w:rPr>
      </w:pPr>
      <w:bookmarkStart w:id="1273" w:name="_Toc344981403"/>
      <w:r w:rsidRPr="007078D3">
        <w:rPr>
          <w:caps/>
          <w:color w:val="000000"/>
        </w:rPr>
        <w:t>11. ZAŁĄCZNIKI</w:t>
      </w:r>
      <w:bookmarkEnd w:id="1273"/>
    </w:p>
    <w:p w:rsidR="0034055A" w:rsidRPr="007078D3" w:rsidRDefault="0034055A" w:rsidP="00196DDD">
      <w:pPr>
        <w:rPr>
          <w:color w:val="000000"/>
        </w:rPr>
      </w:pPr>
      <w:r w:rsidRPr="007078D3">
        <w:rPr>
          <w:b/>
          <w:bCs/>
          <w:color w:val="000000"/>
        </w:rPr>
        <w:t>ZAŁĄCZNIK 1</w:t>
      </w:r>
    </w:p>
    <w:p w:rsidR="0034055A" w:rsidRPr="007078D3" w:rsidRDefault="0034055A" w:rsidP="00196DDD">
      <w:pPr>
        <w:rPr>
          <w:color w:val="000000"/>
        </w:rPr>
      </w:pPr>
      <w:r w:rsidRPr="007078D3">
        <w:rPr>
          <w:color w:val="000000"/>
        </w:rPr>
        <w:t xml:space="preserve">PODSTAWY  FORMALNE  OPRACOWANIA  </w:t>
      </w:r>
      <w:r w:rsidR="00985629">
        <w:rPr>
          <w:color w:val="000000"/>
        </w:rPr>
        <w:t>SST</w:t>
      </w:r>
    </w:p>
    <w:p w:rsidR="0034055A" w:rsidRPr="007078D3" w:rsidRDefault="0034055A" w:rsidP="00196DDD">
      <w:pPr>
        <w:rPr>
          <w:color w:val="000000"/>
        </w:rPr>
      </w:pPr>
      <w:r w:rsidRPr="007078D3">
        <w:rPr>
          <w:color w:val="000000"/>
        </w:rPr>
        <w:t>1. Normy i przepisy</w:t>
      </w:r>
    </w:p>
    <w:p w:rsidR="0034055A" w:rsidRPr="007078D3" w:rsidRDefault="0034055A" w:rsidP="00196DDD">
      <w:pPr>
        <w:rPr>
          <w:color w:val="000000"/>
        </w:rPr>
      </w:pPr>
      <w:r w:rsidRPr="007078D3">
        <w:rPr>
          <w:color w:val="000000"/>
        </w:rPr>
        <w:t>            W 2010 r. wprowadzono do zbioru Polskich Norm normę PN-EN 13285 „Mieszanki niezwiązane – Specyfikacja” [17].  Norma ta jest normą klasyfikacyjną, nie określającą bezpośrednio wymagań wobec mieszanek do konkretnych zastosowań.</w:t>
      </w:r>
    </w:p>
    <w:p w:rsidR="0034055A" w:rsidRPr="007078D3" w:rsidRDefault="0034055A" w:rsidP="00196DDD">
      <w:pPr>
        <w:rPr>
          <w:color w:val="000000"/>
        </w:rPr>
      </w:pPr>
      <w:r w:rsidRPr="007078D3">
        <w:rPr>
          <w:color w:val="000000"/>
        </w:rPr>
        <w:t> Wprowadzenie normy PN-EN 13285 do praktycznego stosowania umożliwia krajowy dokument aplikacyjny „Mieszanki niezwiązane do dróg krajowych, WT-4 2010 Wymagania techniczne” [21], zalecony do stosowania w specyfikacjach technicznych wykonania i odbioru robót budowlanych zarządzeniem nr 102 Generalnego Dyrektora Dróg Krajowych i Autostrad z dnia 19 listopada 2010 r.</w:t>
      </w:r>
    </w:p>
    <w:p w:rsidR="0034055A" w:rsidRPr="007078D3" w:rsidRDefault="0034055A" w:rsidP="00196DDD">
      <w:pPr>
        <w:rPr>
          <w:color w:val="000000"/>
        </w:rPr>
      </w:pPr>
      <w:r w:rsidRPr="007078D3">
        <w:rPr>
          <w:color w:val="000000"/>
        </w:rPr>
        <w:t>            Norma PN-EN 13285 wprowadza stosowanie kruszyw zgodnych z normą PN-EN 13242 [16], obejmujących kruszywa naturalne, sztuczne i kruszywa z recyklingu.</w:t>
      </w:r>
    </w:p>
    <w:p w:rsidR="0034055A" w:rsidRPr="007078D3" w:rsidRDefault="0034055A" w:rsidP="00196DDD">
      <w:pPr>
        <w:rPr>
          <w:color w:val="000000"/>
        </w:rPr>
      </w:pPr>
      <w:r w:rsidRPr="007078D3">
        <w:rPr>
          <w:color w:val="000000"/>
        </w:rPr>
        <w:t xml:space="preserve">            Wyżej wymienione przepisy są podstawą do opracowania niniejszej </w:t>
      </w:r>
      <w:r w:rsidR="00985629">
        <w:rPr>
          <w:color w:val="000000"/>
        </w:rPr>
        <w:t>SST</w:t>
      </w:r>
      <w:r w:rsidRPr="007078D3">
        <w:rPr>
          <w:color w:val="000000"/>
        </w:rPr>
        <w:t>.</w:t>
      </w:r>
    </w:p>
    <w:p w:rsidR="0034055A" w:rsidRPr="007078D3" w:rsidRDefault="0034055A" w:rsidP="00196DDD">
      <w:pPr>
        <w:rPr>
          <w:color w:val="000000"/>
        </w:rPr>
      </w:pPr>
      <w:r w:rsidRPr="007078D3">
        <w:rPr>
          <w:color w:val="000000"/>
        </w:rPr>
        <w:t>            </w:t>
      </w:r>
      <w:bookmarkStart w:id="1274" w:name="_Hlk112157411"/>
      <w:r w:rsidRPr="007078D3">
        <w:rPr>
          <w:color w:val="000000"/>
        </w:rPr>
        <w:t>Stosowane określenie „mieszanka kruszywa niezwiązanego” odpowiada dawniej stosowanemu określeniu „kruszywo stabilizowane mechanicznie”.</w:t>
      </w:r>
      <w:bookmarkEnd w:id="1274"/>
    </w:p>
    <w:p w:rsidR="0034055A" w:rsidRPr="007078D3" w:rsidRDefault="0034055A" w:rsidP="00196DDD">
      <w:pPr>
        <w:rPr>
          <w:color w:val="000000"/>
        </w:rPr>
      </w:pPr>
      <w:r w:rsidRPr="007078D3">
        <w:rPr>
          <w:color w:val="000000"/>
        </w:rPr>
        <w:t xml:space="preserve">Obecne wydanie </w:t>
      </w:r>
      <w:r w:rsidR="00985629">
        <w:rPr>
          <w:color w:val="000000"/>
        </w:rPr>
        <w:t>SST</w:t>
      </w:r>
      <w:r w:rsidRPr="007078D3">
        <w:rPr>
          <w:color w:val="000000"/>
        </w:rPr>
        <w:t xml:space="preserve"> uzupełniono między innymi o przykłady konstrukcji nawierzchni z podbudową zasadniczą z kruszywa niezwiązanego podane w Katalogu typowych konstrukcji nawierzchni podatnych i półsztywnych [23].</w:t>
      </w:r>
    </w:p>
    <w:p w:rsidR="0034055A" w:rsidRPr="007078D3" w:rsidRDefault="0034055A" w:rsidP="00196DDD">
      <w:pPr>
        <w:rPr>
          <w:color w:val="000000"/>
        </w:rPr>
      </w:pPr>
      <w:r w:rsidRPr="007078D3">
        <w:rPr>
          <w:color w:val="000000"/>
        </w:rPr>
        <w:t>2. Schemat konstrukcji nawierzchni drogowej</w:t>
      </w:r>
    </w:p>
    <w:p w:rsidR="0034055A" w:rsidRPr="007078D3" w:rsidRDefault="0034055A" w:rsidP="00196DDD">
      <w:pPr>
        <w:rPr>
          <w:color w:val="000000"/>
        </w:rPr>
      </w:pPr>
      <w:r w:rsidRPr="007078D3">
        <w:rPr>
          <w:color w:val="000000"/>
        </w:rPr>
        <w:t>            Ogólny schemat konstrukcji nawierzchni drogowej podatnej i półsztywnej oraz podłoża, zgodnej z WT-4 2010, przedstawia poniższy szkic.</w:t>
      </w:r>
    </w:p>
    <w:p w:rsidR="0034055A" w:rsidRPr="007078D3" w:rsidRDefault="0034055A" w:rsidP="00196DDD">
      <w:pPr>
        <w:rPr>
          <w:color w:val="000000"/>
        </w:rPr>
      </w:pPr>
      <w:r w:rsidRPr="007078D3">
        <w:rPr>
          <w:b/>
          <w:bCs/>
          <w:color w:val="000000"/>
        </w:rPr>
        <w:t> </w:t>
      </w:r>
    </w:p>
    <w:tbl>
      <w:tblPr>
        <w:tblW w:w="8868" w:type="dxa"/>
        <w:shd w:val="clear" w:color="auto" w:fill="EAEAEA"/>
        <w:tblCellMar>
          <w:left w:w="0" w:type="dxa"/>
          <w:right w:w="0" w:type="dxa"/>
        </w:tblCellMar>
        <w:tblLook w:val="04A0"/>
      </w:tblPr>
      <w:tblGrid>
        <w:gridCol w:w="3652"/>
        <w:gridCol w:w="3656"/>
        <w:gridCol w:w="1560"/>
      </w:tblGrid>
      <w:tr w:rsidR="0034055A" w:rsidRPr="007078D3" w:rsidTr="0034055A">
        <w:tc>
          <w:tcPr>
            <w:tcW w:w="7308" w:type="dxa"/>
            <w:gridSpan w:val="2"/>
            <w:tcBorders>
              <w:top w:val="single" w:sz="8" w:space="0" w:color="808080"/>
              <w:left w:val="single" w:sz="8" w:space="0" w:color="808080"/>
              <w:bottom w:val="single" w:sz="8" w:space="0" w:color="808080"/>
              <w:right w:val="single" w:sz="8" w:space="0" w:color="808080"/>
            </w:tcBorders>
            <w:shd w:val="clear" w:color="auto" w:fill="BFBFBF"/>
            <w:tcMar>
              <w:top w:w="0" w:type="dxa"/>
              <w:left w:w="108" w:type="dxa"/>
              <w:bottom w:w="0" w:type="dxa"/>
              <w:right w:w="108" w:type="dxa"/>
            </w:tcMar>
            <w:hideMark/>
          </w:tcPr>
          <w:p w:rsidR="0034055A" w:rsidRPr="007078D3" w:rsidRDefault="0034055A" w:rsidP="00196DDD">
            <w:r w:rsidRPr="007078D3">
              <w:rPr>
                <w:color w:val="000000"/>
              </w:rPr>
              <w:t>warstwa ścieralna</w:t>
            </w:r>
          </w:p>
        </w:tc>
        <w:tc>
          <w:tcPr>
            <w:tcW w:w="1560" w:type="dxa"/>
            <w:vMerge w:val="restar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hideMark/>
          </w:tcPr>
          <w:p w:rsidR="0034055A" w:rsidRPr="007078D3" w:rsidRDefault="0034055A" w:rsidP="00196DDD">
            <w:r w:rsidRPr="007078D3">
              <w:rPr>
                <w:color w:val="000000"/>
              </w:rPr>
              <w:t> </w:t>
            </w:r>
          </w:p>
          <w:p w:rsidR="0034055A" w:rsidRPr="007078D3" w:rsidRDefault="0034055A" w:rsidP="00196DDD">
            <w:r w:rsidRPr="007078D3">
              <w:rPr>
                <w:color w:val="000000"/>
              </w:rPr>
              <w:t>nawierzchnia</w:t>
            </w:r>
          </w:p>
        </w:tc>
      </w:tr>
      <w:tr w:rsidR="0034055A" w:rsidRPr="007078D3" w:rsidTr="0034055A">
        <w:tc>
          <w:tcPr>
            <w:tcW w:w="7308" w:type="dxa"/>
            <w:gridSpan w:val="2"/>
            <w:tcBorders>
              <w:top w:val="nil"/>
              <w:left w:val="single" w:sz="8" w:space="0" w:color="808080"/>
              <w:bottom w:val="single" w:sz="8" w:space="0" w:color="808080"/>
              <w:right w:val="single" w:sz="8" w:space="0" w:color="808080"/>
            </w:tcBorders>
            <w:shd w:val="clear" w:color="auto" w:fill="BFBFBF"/>
            <w:tcMar>
              <w:top w:w="0" w:type="dxa"/>
              <w:left w:w="108" w:type="dxa"/>
              <w:bottom w:w="0" w:type="dxa"/>
              <w:right w:w="108" w:type="dxa"/>
            </w:tcMar>
            <w:hideMark/>
          </w:tcPr>
          <w:p w:rsidR="0034055A" w:rsidRPr="007078D3" w:rsidRDefault="0034055A" w:rsidP="00196DDD">
            <w:r w:rsidRPr="007078D3">
              <w:rPr>
                <w:color w:val="000000"/>
              </w:rPr>
              <w:t>warstwa wiążąca</w:t>
            </w: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7078D3" w:rsidRDefault="0034055A" w:rsidP="00196DDD"/>
        </w:tc>
      </w:tr>
      <w:tr w:rsidR="0034055A" w:rsidRPr="007078D3" w:rsidTr="0034055A">
        <w:tc>
          <w:tcPr>
            <w:tcW w:w="3652" w:type="dxa"/>
            <w:tcBorders>
              <w:top w:val="nil"/>
              <w:left w:val="single" w:sz="8" w:space="0" w:color="808080"/>
              <w:bottom w:val="single" w:sz="8" w:space="0" w:color="808080"/>
              <w:right w:val="single" w:sz="8" w:space="0" w:color="808080"/>
            </w:tcBorders>
            <w:shd w:val="clear" w:color="auto" w:fill="BFBFBF"/>
            <w:tcMar>
              <w:top w:w="0" w:type="dxa"/>
              <w:left w:w="108" w:type="dxa"/>
              <w:bottom w:w="0" w:type="dxa"/>
              <w:right w:w="108" w:type="dxa"/>
            </w:tcMar>
            <w:hideMark/>
          </w:tcPr>
          <w:p w:rsidR="0034055A" w:rsidRPr="007078D3" w:rsidRDefault="0034055A" w:rsidP="00196DDD">
            <w:r w:rsidRPr="007078D3">
              <w:rPr>
                <w:color w:val="000000"/>
              </w:rPr>
              <w:t>podbudowa zasadnicza</w:t>
            </w:r>
          </w:p>
        </w:tc>
        <w:tc>
          <w:tcPr>
            <w:tcW w:w="3656" w:type="dxa"/>
            <w:vMerge w:val="restart"/>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rsidR="0034055A" w:rsidRPr="007078D3" w:rsidRDefault="0034055A" w:rsidP="00196DDD">
            <w:r w:rsidRPr="007078D3">
              <w:rPr>
                <w:color w:val="000000"/>
              </w:rPr>
              <w:t>podbudowa</w:t>
            </w: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7078D3" w:rsidRDefault="0034055A" w:rsidP="00196DDD"/>
        </w:tc>
      </w:tr>
      <w:tr w:rsidR="0034055A" w:rsidRPr="007078D3" w:rsidTr="0034055A">
        <w:tc>
          <w:tcPr>
            <w:tcW w:w="3652" w:type="dxa"/>
            <w:tcBorders>
              <w:top w:val="nil"/>
              <w:left w:val="single" w:sz="8" w:space="0" w:color="808080"/>
              <w:bottom w:val="single" w:sz="8" w:space="0" w:color="808080"/>
              <w:right w:val="single" w:sz="8" w:space="0" w:color="808080"/>
            </w:tcBorders>
            <w:shd w:val="clear" w:color="auto" w:fill="BFBFBF"/>
            <w:tcMar>
              <w:top w:w="0" w:type="dxa"/>
              <w:left w:w="108" w:type="dxa"/>
              <w:bottom w:w="0" w:type="dxa"/>
              <w:right w:w="108" w:type="dxa"/>
            </w:tcMar>
            <w:hideMark/>
          </w:tcPr>
          <w:p w:rsidR="0034055A" w:rsidRPr="007078D3" w:rsidRDefault="0034055A" w:rsidP="00196DDD">
            <w:r w:rsidRPr="007078D3">
              <w:rPr>
                <w:color w:val="000000"/>
              </w:rPr>
              <w:t>podbudowa pomocnicza</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196DDD"/>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34055A" w:rsidRPr="007078D3" w:rsidRDefault="0034055A" w:rsidP="00196DDD"/>
        </w:tc>
      </w:tr>
      <w:tr w:rsidR="0034055A" w:rsidRPr="007078D3" w:rsidTr="0034055A">
        <w:tc>
          <w:tcPr>
            <w:tcW w:w="7308" w:type="dxa"/>
            <w:gridSpan w:val="2"/>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rsidR="0034055A" w:rsidRPr="007078D3" w:rsidRDefault="0034055A" w:rsidP="00196DDD">
            <w:r w:rsidRPr="007078D3">
              <w:rPr>
                <w:color w:val="000000"/>
              </w:rPr>
              <w:t>podłoże ulepszone (warstwa mrozoochronna, odsączająca, odcinająca, wzmacniająca)</w:t>
            </w:r>
          </w:p>
        </w:tc>
        <w:tc>
          <w:tcPr>
            <w:tcW w:w="1560" w:type="dxa"/>
            <w:vMerge w:val="restart"/>
            <w:tcBorders>
              <w:top w:val="nil"/>
              <w:left w:val="nil"/>
              <w:bottom w:val="single" w:sz="8" w:space="0" w:color="auto"/>
              <w:right w:val="single" w:sz="8" w:space="0" w:color="auto"/>
            </w:tcBorders>
            <w:shd w:val="clear" w:color="auto" w:fill="F2F2F2"/>
            <w:tcMar>
              <w:top w:w="0" w:type="dxa"/>
              <w:left w:w="108" w:type="dxa"/>
              <w:bottom w:w="0" w:type="dxa"/>
              <w:right w:w="108" w:type="dxa"/>
            </w:tcMar>
            <w:hideMark/>
          </w:tcPr>
          <w:p w:rsidR="0034055A" w:rsidRPr="007078D3" w:rsidRDefault="0034055A" w:rsidP="00196DDD">
            <w:r w:rsidRPr="007078D3">
              <w:rPr>
                <w:color w:val="000000"/>
              </w:rPr>
              <w:t>podłoże</w:t>
            </w:r>
          </w:p>
        </w:tc>
      </w:tr>
      <w:tr w:rsidR="0034055A" w:rsidRPr="007078D3" w:rsidTr="0034055A">
        <w:tc>
          <w:tcPr>
            <w:tcW w:w="7308" w:type="dxa"/>
            <w:gridSpan w:val="2"/>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rsidR="0034055A" w:rsidRPr="007078D3" w:rsidRDefault="0034055A" w:rsidP="00196DDD">
            <w:r w:rsidRPr="007078D3">
              <w:rPr>
                <w:color w:val="000000"/>
              </w:rPr>
              <w:t>podłoże gruntowe</w:t>
            </w:r>
          </w:p>
        </w:tc>
        <w:tc>
          <w:tcPr>
            <w:tcW w:w="0" w:type="auto"/>
            <w:vMerge/>
            <w:tcBorders>
              <w:top w:val="nil"/>
              <w:left w:val="nil"/>
              <w:bottom w:val="single" w:sz="8" w:space="0" w:color="auto"/>
              <w:right w:val="single" w:sz="8" w:space="0" w:color="auto"/>
            </w:tcBorders>
            <w:shd w:val="clear" w:color="auto" w:fill="EAEAEA"/>
            <w:vAlign w:val="center"/>
            <w:hideMark/>
          </w:tcPr>
          <w:p w:rsidR="0034055A" w:rsidRPr="007078D3" w:rsidRDefault="0034055A" w:rsidP="00196DDD"/>
        </w:tc>
      </w:tr>
    </w:tbl>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b/>
          <w:bCs/>
          <w:color w:val="000000"/>
        </w:rPr>
        <w:t>ZAŁĄCZNIK 2</w:t>
      </w:r>
    </w:p>
    <w:p w:rsidR="0034055A" w:rsidRPr="007078D3" w:rsidRDefault="0034055A" w:rsidP="00196DDD">
      <w:pPr>
        <w:rPr>
          <w:color w:val="000000"/>
        </w:rPr>
      </w:pPr>
      <w:r w:rsidRPr="007078D3">
        <w:rPr>
          <w:color w:val="000000"/>
        </w:rPr>
        <w:t>PRZYKŁADOWE  MIESZANKI  KRUSZYW  Z  RECYKLINGU [21]</w:t>
      </w:r>
    </w:p>
    <w:p w:rsidR="0034055A" w:rsidRPr="007078D3" w:rsidRDefault="0034055A" w:rsidP="00196DDD">
      <w:pPr>
        <w:rPr>
          <w:color w:val="000000"/>
        </w:rPr>
      </w:pPr>
      <w:r w:rsidRPr="007078D3">
        <w:rPr>
          <w:color w:val="000000"/>
        </w:rPr>
        <w:t>1.1.  Rodzaje mieszanek kruszyw z recyklingu</w:t>
      </w:r>
    </w:p>
    <w:p w:rsidR="0034055A" w:rsidRPr="007078D3" w:rsidRDefault="0034055A" w:rsidP="00196DDD">
      <w:pPr>
        <w:rPr>
          <w:color w:val="000000"/>
        </w:rPr>
      </w:pPr>
      <w:r w:rsidRPr="007078D3">
        <w:rPr>
          <w:color w:val="000000"/>
        </w:rPr>
        <w:t>Ze względu na brak większych doświadczeń krajowych w stosowaniu kruszyw z recyklingu, podaje się składy mieszanek, odzwierciedlających praktyki stosowane w niektórych krajach, które mogą służyć jako wytyczne. Dopuszczalne są inne mieszanki, w tym również mieszanki o wysokim udziale standaryzowanego destruktu asfaltowego.</w:t>
      </w:r>
    </w:p>
    <w:p w:rsidR="0034055A" w:rsidRPr="007078D3" w:rsidRDefault="0034055A" w:rsidP="00196DDD">
      <w:pPr>
        <w:rPr>
          <w:color w:val="000000"/>
        </w:rPr>
      </w:pPr>
      <w:r w:rsidRPr="007078D3">
        <w:rPr>
          <w:color w:val="000000"/>
        </w:rPr>
        <w:t>Jako przykładowe podaje się następujące mieszanki kruszyw z recyklingu wraz z ich składami:</w:t>
      </w:r>
    </w:p>
    <w:p w:rsidR="0034055A" w:rsidRPr="007078D3" w:rsidRDefault="0034055A" w:rsidP="00196DDD">
      <w:pPr>
        <w:rPr>
          <w:color w:val="000000"/>
        </w:rPr>
      </w:pPr>
      <w:r w:rsidRPr="007078D3">
        <w:rPr>
          <w:color w:val="000000"/>
        </w:rPr>
        <w:t>–       mieszanki z betonu </w:t>
      </w:r>
      <w:r w:rsidRPr="007078D3">
        <w:rPr>
          <w:rStyle w:val="spelle"/>
          <w:rFonts w:ascii="Times New Roman" w:hAnsi="Times New Roman" w:cs="Times New Roman"/>
          <w:color w:val="000000"/>
          <w:szCs w:val="20"/>
        </w:rPr>
        <w:t>przekruszonego</w:t>
      </w:r>
      <w:r w:rsidRPr="007078D3">
        <w:rPr>
          <w:color w:val="000000"/>
        </w:rPr>
        <w:t>,</w:t>
      </w:r>
    </w:p>
    <w:p w:rsidR="0034055A" w:rsidRPr="007078D3" w:rsidRDefault="0034055A" w:rsidP="00196DDD">
      <w:pPr>
        <w:rPr>
          <w:color w:val="000000"/>
        </w:rPr>
      </w:pPr>
      <w:r w:rsidRPr="007078D3">
        <w:rPr>
          <w:color w:val="000000"/>
        </w:rPr>
        <w:t>–       mieszanki z </w:t>
      </w:r>
      <w:r w:rsidRPr="007078D3">
        <w:rPr>
          <w:rStyle w:val="spelle"/>
          <w:rFonts w:ascii="Times New Roman" w:hAnsi="Times New Roman" w:cs="Times New Roman"/>
          <w:color w:val="000000"/>
          <w:szCs w:val="20"/>
        </w:rPr>
        <w:t>przekruszonego</w:t>
      </w:r>
      <w:r w:rsidRPr="007078D3">
        <w:rPr>
          <w:color w:val="000000"/>
        </w:rPr>
        <w:t> muru,</w:t>
      </w:r>
    </w:p>
    <w:p w:rsidR="0034055A" w:rsidRPr="007078D3" w:rsidRDefault="0034055A" w:rsidP="00196DDD">
      <w:pPr>
        <w:rPr>
          <w:color w:val="000000"/>
        </w:rPr>
      </w:pPr>
      <w:r w:rsidRPr="007078D3">
        <w:rPr>
          <w:color w:val="000000"/>
        </w:rPr>
        <w:t>–       mieszanki z </w:t>
      </w:r>
      <w:r w:rsidRPr="007078D3">
        <w:rPr>
          <w:rStyle w:val="spelle"/>
          <w:rFonts w:ascii="Times New Roman" w:hAnsi="Times New Roman" w:cs="Times New Roman"/>
          <w:color w:val="000000"/>
          <w:szCs w:val="20"/>
        </w:rPr>
        <w:t>przekruszonego</w:t>
      </w:r>
      <w:r w:rsidRPr="007078D3">
        <w:rPr>
          <w:color w:val="000000"/>
        </w:rPr>
        <w:t> betonu i muru,</w:t>
      </w:r>
    </w:p>
    <w:p w:rsidR="0034055A" w:rsidRPr="007078D3" w:rsidRDefault="0034055A" w:rsidP="00196DDD">
      <w:pPr>
        <w:rPr>
          <w:color w:val="000000"/>
        </w:rPr>
      </w:pPr>
      <w:r w:rsidRPr="007078D3">
        <w:rPr>
          <w:color w:val="000000"/>
        </w:rPr>
        <w:t>–       mieszanki z </w:t>
      </w:r>
      <w:r w:rsidRPr="007078D3">
        <w:rPr>
          <w:rStyle w:val="spelle"/>
          <w:rFonts w:ascii="Times New Roman" w:hAnsi="Times New Roman" w:cs="Times New Roman"/>
          <w:color w:val="000000"/>
          <w:szCs w:val="20"/>
        </w:rPr>
        <w:t>przekruszonych</w:t>
      </w:r>
      <w:r w:rsidRPr="007078D3">
        <w:rPr>
          <w:color w:val="000000"/>
        </w:rPr>
        <w:t> materiałów drogowych (w tym destruktu asfaltowego),</w:t>
      </w:r>
    </w:p>
    <w:p w:rsidR="0034055A" w:rsidRPr="007078D3" w:rsidRDefault="0034055A" w:rsidP="00196DDD">
      <w:pPr>
        <w:rPr>
          <w:color w:val="000000"/>
        </w:rPr>
      </w:pPr>
      <w:r w:rsidRPr="007078D3">
        <w:rPr>
          <w:color w:val="000000"/>
        </w:rPr>
        <w:t>–       popiół powstały ze spalania odpadów komunalnych (w tym odpadów z gospodarstw domowych).</w:t>
      </w:r>
    </w:p>
    <w:p w:rsidR="0034055A" w:rsidRPr="007078D3" w:rsidRDefault="0034055A" w:rsidP="00196DDD">
      <w:pPr>
        <w:rPr>
          <w:color w:val="000000"/>
        </w:rPr>
      </w:pPr>
      <w:r w:rsidRPr="007078D3">
        <w:rPr>
          <w:color w:val="000000"/>
        </w:rPr>
        <w:t>1.2. Metoda badania</w:t>
      </w:r>
    </w:p>
    <w:p w:rsidR="0034055A" w:rsidRPr="007078D3" w:rsidRDefault="0034055A" w:rsidP="00196DDD">
      <w:pPr>
        <w:rPr>
          <w:color w:val="000000"/>
        </w:rPr>
      </w:pPr>
      <w:r w:rsidRPr="007078D3">
        <w:rPr>
          <w:color w:val="000000"/>
        </w:rPr>
        <w:t>            Masa próbki analitycznej niezbędna do wykonania oznaczenia składu mieszanki zależy od wymiaru największego ziarna w mieszance:</w:t>
      </w:r>
    </w:p>
    <w:p w:rsidR="0034055A" w:rsidRPr="007078D3" w:rsidRDefault="0034055A" w:rsidP="00196DDD">
      <w:pPr>
        <w:rPr>
          <w:color w:val="000000"/>
        </w:rPr>
      </w:pPr>
      <w:r w:rsidRPr="007078D3">
        <w:rPr>
          <w:color w:val="000000"/>
        </w:rPr>
        <w:t>a)   przy D ≤ 32 mm    masa próbki 4 000 g,</w:t>
      </w:r>
    </w:p>
    <w:p w:rsidR="0034055A" w:rsidRPr="007078D3" w:rsidRDefault="0034055A" w:rsidP="00196DDD">
      <w:pPr>
        <w:rPr>
          <w:color w:val="000000"/>
        </w:rPr>
      </w:pPr>
      <w:r w:rsidRPr="007078D3">
        <w:rPr>
          <w:color w:val="000000"/>
        </w:rPr>
        <w:t>b)  przy D &gt; 32 mm    masa próbki 10 000 g.</w:t>
      </w:r>
    </w:p>
    <w:p w:rsidR="0034055A" w:rsidRPr="007078D3" w:rsidRDefault="0034055A" w:rsidP="00196DDD">
      <w:pPr>
        <w:rPr>
          <w:color w:val="000000"/>
        </w:rPr>
      </w:pPr>
      <w:r w:rsidRPr="007078D3">
        <w:rPr>
          <w:color w:val="000000"/>
        </w:rPr>
        <w:t>Zgodnie z PN-EN 933-1 [5] próbkę mieszanki należy przepłukać na sicie 8 mm, przy czym sito nie może być przeładowane. Pozostałość na sicie jest suszona do masy stałej i podawana jako „M”.</w:t>
      </w:r>
    </w:p>
    <w:p w:rsidR="0034055A" w:rsidRPr="007078D3" w:rsidRDefault="0034055A" w:rsidP="00196DDD">
      <w:pPr>
        <w:rPr>
          <w:color w:val="000000"/>
        </w:rPr>
      </w:pPr>
      <w:r w:rsidRPr="007078D3">
        <w:rPr>
          <w:color w:val="000000"/>
        </w:rPr>
        <w:t>Wymyte i wysuszone ziarna są sortowane metodą wizualną w następujące grupy:</w:t>
      </w:r>
    </w:p>
    <w:p w:rsidR="0034055A" w:rsidRPr="007078D3" w:rsidRDefault="0034055A" w:rsidP="00196DDD">
      <w:pPr>
        <w:rPr>
          <w:color w:val="000000"/>
        </w:rPr>
      </w:pPr>
      <w:r w:rsidRPr="007078D3">
        <w:rPr>
          <w:color w:val="000000"/>
        </w:rPr>
        <w:t>–       kruszywa z </w:t>
      </w:r>
      <w:r w:rsidRPr="007078D3">
        <w:rPr>
          <w:rStyle w:val="spelle"/>
          <w:rFonts w:ascii="Times New Roman" w:hAnsi="Times New Roman" w:cs="Times New Roman"/>
          <w:color w:val="000000"/>
          <w:szCs w:val="20"/>
        </w:rPr>
        <w:t>przekruszonej</w:t>
      </w:r>
      <w:r w:rsidRPr="007078D3">
        <w:rPr>
          <w:color w:val="000000"/>
        </w:rPr>
        <w:t> skały,</w:t>
      </w:r>
    </w:p>
    <w:p w:rsidR="0034055A" w:rsidRPr="007078D3" w:rsidRDefault="0034055A" w:rsidP="00196DDD">
      <w:pPr>
        <w:rPr>
          <w:color w:val="000000"/>
        </w:rPr>
      </w:pPr>
      <w:r w:rsidRPr="007078D3">
        <w:rPr>
          <w:color w:val="000000"/>
        </w:rPr>
        <w:t>–       kruszywa ze żwiru,</w:t>
      </w:r>
    </w:p>
    <w:p w:rsidR="0034055A" w:rsidRPr="007078D3" w:rsidRDefault="0034055A" w:rsidP="00196DDD">
      <w:pPr>
        <w:rPr>
          <w:color w:val="000000"/>
        </w:rPr>
      </w:pPr>
      <w:r w:rsidRPr="007078D3">
        <w:rPr>
          <w:color w:val="000000"/>
        </w:rPr>
        <w:t>–       beton i inne hydraulicznie związane mieszanki,</w:t>
      </w:r>
    </w:p>
    <w:p w:rsidR="0034055A" w:rsidRPr="007078D3" w:rsidRDefault="0034055A" w:rsidP="00196DDD">
      <w:pPr>
        <w:rPr>
          <w:color w:val="000000"/>
        </w:rPr>
      </w:pPr>
      <w:r w:rsidRPr="007078D3">
        <w:rPr>
          <w:color w:val="000000"/>
        </w:rPr>
        <w:t>–       żużel (łącznie z rodzajem żużla, jeżeli jest znany),</w:t>
      </w:r>
    </w:p>
    <w:p w:rsidR="0034055A" w:rsidRPr="007078D3" w:rsidRDefault="0034055A" w:rsidP="00196DDD">
      <w:pPr>
        <w:rPr>
          <w:color w:val="000000"/>
        </w:rPr>
      </w:pPr>
      <w:r w:rsidRPr="007078D3">
        <w:rPr>
          <w:color w:val="000000"/>
        </w:rPr>
        <w:t>–       cegły, mury i bloki betonowe,</w:t>
      </w:r>
    </w:p>
    <w:p w:rsidR="0034055A" w:rsidRPr="007078D3" w:rsidRDefault="0034055A" w:rsidP="00196DDD">
      <w:pPr>
        <w:rPr>
          <w:color w:val="000000"/>
        </w:rPr>
      </w:pPr>
      <w:r w:rsidRPr="007078D3">
        <w:rPr>
          <w:color w:val="000000"/>
        </w:rPr>
        <w:t>–       mur z cegły wapienno-piaskowej,</w:t>
      </w:r>
    </w:p>
    <w:p w:rsidR="0034055A" w:rsidRPr="007078D3" w:rsidRDefault="0034055A" w:rsidP="00196DDD">
      <w:pPr>
        <w:rPr>
          <w:color w:val="000000"/>
        </w:rPr>
      </w:pPr>
      <w:r w:rsidRPr="007078D3">
        <w:rPr>
          <w:color w:val="000000"/>
        </w:rPr>
        <w:t>–       kruszywa lekkie,</w:t>
      </w:r>
    </w:p>
    <w:p w:rsidR="0034055A" w:rsidRPr="007078D3" w:rsidRDefault="0034055A" w:rsidP="00196DDD">
      <w:pPr>
        <w:rPr>
          <w:color w:val="000000"/>
        </w:rPr>
      </w:pPr>
      <w:r w:rsidRPr="007078D3">
        <w:rPr>
          <w:color w:val="000000"/>
        </w:rPr>
        <w:t>–       destrukt asfaltowy,</w:t>
      </w:r>
    </w:p>
    <w:p w:rsidR="0034055A" w:rsidRPr="007078D3" w:rsidRDefault="0034055A" w:rsidP="00196DDD">
      <w:pPr>
        <w:rPr>
          <w:color w:val="000000"/>
        </w:rPr>
      </w:pPr>
      <w:r w:rsidRPr="007078D3">
        <w:rPr>
          <w:color w:val="000000"/>
        </w:rPr>
        <w:lastRenderedPageBreak/>
        <w:t>–       zanieczyszczenia organiczne – drewno, tworzywo sztuczne itp.</w:t>
      </w:r>
    </w:p>
    <w:p w:rsidR="0034055A" w:rsidRPr="007078D3" w:rsidRDefault="0034055A" w:rsidP="00196DDD">
      <w:pPr>
        <w:rPr>
          <w:color w:val="000000"/>
        </w:rPr>
      </w:pPr>
      <w:r w:rsidRPr="007078D3">
        <w:rPr>
          <w:color w:val="000000"/>
        </w:rPr>
        <w:t>Należy określić masę m</w:t>
      </w:r>
      <w:r w:rsidRPr="007078D3">
        <w:rPr>
          <w:color w:val="000000"/>
          <w:vertAlign w:val="subscript"/>
        </w:rPr>
        <w:t>i  </w:t>
      </w:r>
      <w:r w:rsidRPr="007078D3">
        <w:rPr>
          <w:color w:val="000000"/>
        </w:rPr>
        <w:t>każdej wydzielonej grupy i obliczyć jej procentową zawartość w całej masie mieszanki M, według poniższego wzoru, oraz podać tę wartość:</w:t>
      </w:r>
    </w:p>
    <w:p w:rsidR="0034055A" w:rsidRPr="007078D3" w:rsidRDefault="0034055A" w:rsidP="00196DDD">
      <w:pPr>
        <w:rPr>
          <w:color w:val="000000"/>
        </w:rPr>
      </w:pPr>
      <w:r w:rsidRPr="007078D3">
        <w:rPr>
          <w:b/>
          <w:bCs/>
          <w:color w:val="000000"/>
        </w:rPr>
        <w:t>                                                           </w:t>
      </w:r>
      <w:r w:rsidRPr="007078D3">
        <w:rPr>
          <w:color w:val="000000"/>
        </w:rPr>
        <w:t>100  ×  m</w:t>
      </w:r>
      <w:r w:rsidRPr="007078D3">
        <w:rPr>
          <w:color w:val="000000"/>
          <w:vertAlign w:val="subscript"/>
        </w:rPr>
        <w:t>i </w:t>
      </w:r>
      <w:r w:rsidRPr="007078D3">
        <w:rPr>
          <w:color w:val="000000"/>
        </w:rPr>
        <w:t>/ M     [%(m/m)].</w:t>
      </w:r>
    </w:p>
    <w:p w:rsidR="0034055A" w:rsidRPr="007078D3" w:rsidRDefault="0034055A" w:rsidP="00196DDD">
      <w:pPr>
        <w:rPr>
          <w:color w:val="000000"/>
        </w:rPr>
      </w:pPr>
      <w:r w:rsidRPr="007078D3">
        <w:rPr>
          <w:color w:val="000000"/>
        </w:rPr>
        <w:t>1.3. Składy mieszanek kruszyw z recyklingu</w:t>
      </w:r>
    </w:p>
    <w:p w:rsidR="0034055A" w:rsidRPr="007078D3" w:rsidRDefault="0034055A" w:rsidP="00196DDD">
      <w:pPr>
        <w:rPr>
          <w:color w:val="000000"/>
        </w:rPr>
      </w:pPr>
      <w:r w:rsidRPr="007078D3">
        <w:rPr>
          <w:color w:val="000000"/>
        </w:rPr>
        <w:t>(Uwaga: Gęstość materiałów podana w tablicach jest gęstością ziaren suszonych w suszarce laboratoryjnej, ustalana wg PN-EN 1097-6 [11])</w:t>
      </w:r>
    </w:p>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color w:val="000000"/>
        </w:rPr>
        <w:t>Tablica 1.1. Mieszanki z betonu </w:t>
      </w:r>
      <w:r w:rsidRPr="007078D3">
        <w:rPr>
          <w:rStyle w:val="spelle"/>
          <w:rFonts w:ascii="Times New Roman" w:hAnsi="Times New Roman" w:cs="Times New Roman"/>
          <w:color w:val="000000"/>
          <w:szCs w:val="20"/>
        </w:rPr>
        <w:t>przekruszonego</w:t>
      </w:r>
    </w:p>
    <w:tbl>
      <w:tblPr>
        <w:tblW w:w="8868" w:type="dxa"/>
        <w:shd w:val="clear" w:color="auto" w:fill="EAEAEA"/>
        <w:tblCellMar>
          <w:left w:w="0" w:type="dxa"/>
          <w:right w:w="0" w:type="dxa"/>
        </w:tblCellMar>
        <w:tblLook w:val="04A0"/>
      </w:tblPr>
      <w:tblGrid>
        <w:gridCol w:w="2748"/>
        <w:gridCol w:w="4436"/>
        <w:gridCol w:w="1684"/>
      </w:tblGrid>
      <w:tr w:rsidR="0034055A" w:rsidRPr="00EF535A" w:rsidTr="0034055A">
        <w:tc>
          <w:tcPr>
            <w:tcW w:w="7184"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1684"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[%(m/m)]</w:t>
            </w:r>
          </w:p>
        </w:tc>
      </w:tr>
      <w:tr w:rsidR="0034055A" w:rsidRPr="00EF535A" w:rsidTr="0034055A">
        <w:tc>
          <w:tcPr>
            <w:tcW w:w="274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Główne składniki</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rStyle w:val="spelle"/>
                <w:rFonts w:ascii="Times New Roman" w:hAnsi="Times New Roman" w:cs="Times New Roman"/>
                <w:sz w:val="18"/>
                <w:szCs w:val="18"/>
              </w:rPr>
              <w:t>Przekruszony</w:t>
            </w:r>
            <w:r w:rsidRPr="00EF535A">
              <w:rPr>
                <w:sz w:val="18"/>
                <w:szCs w:val="18"/>
              </w:rPr>
              <w:t> beton (o gęstości &gt; 2,1 Mg/m</w:t>
            </w:r>
            <w:r w:rsidRPr="00EF535A">
              <w:rPr>
                <w:sz w:val="18"/>
                <w:szCs w:val="18"/>
                <w:vertAlign w:val="superscript"/>
              </w:rPr>
              <w:t>3</w:t>
            </w:r>
            <w:r w:rsidRPr="00EF535A">
              <w:rPr>
                <w:sz w:val="18"/>
                <w:szCs w:val="18"/>
              </w:rPr>
              <w:t>) i kruszywo (łącznie z żużlem)</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90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Inne materiały ziarniste</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rStyle w:val="spelle"/>
                <w:rFonts w:ascii="Times New Roman" w:hAnsi="Times New Roman" w:cs="Times New Roman"/>
                <w:sz w:val="18"/>
                <w:szCs w:val="18"/>
              </w:rPr>
              <w:t>Przekruszony</w:t>
            </w:r>
            <w:r w:rsidRPr="00EF535A">
              <w:rPr>
                <w:sz w:val="18"/>
                <w:szCs w:val="18"/>
              </w:rPr>
              <w:t> mur</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10</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Destrukt asfaltowy</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15</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Zanieczyszczenia</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spoiste (łącznie z gliną)</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0,1</w:t>
            </w:r>
          </w:p>
        </w:tc>
      </w:tr>
    </w:tbl>
    <w:p w:rsidR="0034055A" w:rsidRPr="007078D3" w:rsidRDefault="0034055A" w:rsidP="00196DDD">
      <w:pPr>
        <w:rPr>
          <w:color w:val="000000"/>
        </w:rPr>
      </w:pPr>
      <w:r w:rsidRPr="007078D3">
        <w:rPr>
          <w:color w:val="000000"/>
        </w:rPr>
        <w:t>Tablica 1.2. Mieszanki z </w:t>
      </w:r>
      <w:r w:rsidRPr="007078D3">
        <w:rPr>
          <w:rStyle w:val="spelle"/>
          <w:rFonts w:ascii="Times New Roman" w:hAnsi="Times New Roman" w:cs="Times New Roman"/>
          <w:color w:val="000000"/>
          <w:szCs w:val="20"/>
        </w:rPr>
        <w:t>przekruszonego</w:t>
      </w:r>
      <w:r w:rsidRPr="007078D3">
        <w:rPr>
          <w:color w:val="000000"/>
        </w:rPr>
        <w:t> muru</w:t>
      </w:r>
    </w:p>
    <w:tbl>
      <w:tblPr>
        <w:tblW w:w="8868" w:type="dxa"/>
        <w:shd w:val="clear" w:color="auto" w:fill="EAEAEA"/>
        <w:tblCellMar>
          <w:left w:w="0" w:type="dxa"/>
          <w:right w:w="0" w:type="dxa"/>
        </w:tblCellMar>
        <w:tblLook w:val="04A0"/>
      </w:tblPr>
      <w:tblGrid>
        <w:gridCol w:w="2748"/>
        <w:gridCol w:w="4440"/>
        <w:gridCol w:w="1680"/>
      </w:tblGrid>
      <w:tr w:rsidR="0034055A" w:rsidRPr="00EF535A" w:rsidTr="0034055A">
        <w:tc>
          <w:tcPr>
            <w:tcW w:w="7188"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1680"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[%(m/m)]</w:t>
            </w:r>
          </w:p>
        </w:tc>
      </w:tr>
      <w:tr w:rsidR="0034055A" w:rsidRPr="00EF535A" w:rsidTr="0034055A">
        <w:tc>
          <w:tcPr>
            <w:tcW w:w="274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Główne składniki</w:t>
            </w: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rStyle w:val="spelle"/>
                <w:rFonts w:ascii="Times New Roman" w:hAnsi="Times New Roman" w:cs="Times New Roman"/>
                <w:sz w:val="18"/>
                <w:szCs w:val="18"/>
              </w:rPr>
              <w:t>Przekruszony</w:t>
            </w:r>
            <w:r w:rsidRPr="00EF535A">
              <w:rPr>
                <w:sz w:val="18"/>
                <w:szCs w:val="18"/>
              </w:rPr>
              <w:t> mur (gęstość &gt; 1,6 Mg/m</w:t>
            </w:r>
            <w:r w:rsidRPr="00EF535A">
              <w:rPr>
                <w:sz w:val="18"/>
                <w:szCs w:val="18"/>
                <w:vertAlign w:val="superscript"/>
              </w:rPr>
              <w:t>3</w:t>
            </w:r>
            <w:r w:rsidRPr="00EF535A">
              <w:rPr>
                <w:sz w:val="18"/>
                <w:szCs w:val="18"/>
              </w:rPr>
              <w:t>), </w:t>
            </w:r>
            <w:r w:rsidRPr="00EF535A">
              <w:rPr>
                <w:rStyle w:val="spelle"/>
                <w:rFonts w:ascii="Times New Roman" w:hAnsi="Times New Roman" w:cs="Times New Roman"/>
                <w:sz w:val="18"/>
                <w:szCs w:val="18"/>
              </w:rPr>
              <w:t>przekruszony</w:t>
            </w:r>
            <w:r w:rsidRPr="00EF535A">
              <w:rPr>
                <w:sz w:val="18"/>
                <w:szCs w:val="18"/>
              </w:rPr>
              <w:t> beton (gęstość &gt; 2,1 Mg/m</w:t>
            </w:r>
            <w:r w:rsidRPr="00EF535A">
              <w:rPr>
                <w:sz w:val="18"/>
                <w:szCs w:val="18"/>
                <w:vertAlign w:val="superscript"/>
              </w:rPr>
              <w:t>3</w:t>
            </w:r>
            <w:r w:rsidRPr="00EF535A">
              <w:rPr>
                <w:sz w:val="18"/>
                <w:szCs w:val="18"/>
              </w:rPr>
              <w:t>),   i kruszywo (łącznie z żużlem)</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80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Inne materiały ziarniste</w:t>
            </w: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Materiały ziarniste o gęstości &lt; 1,6 Mg/m</w:t>
            </w:r>
            <w:r w:rsidRPr="00EF535A">
              <w:rPr>
                <w:sz w:val="18"/>
                <w:szCs w:val="18"/>
                <w:vertAlign w:val="superscript"/>
              </w:rPr>
              <w:t>3</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20</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Destrukt asfaltowy</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Zanieczyszczenia</w:t>
            </w: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spoiste (łącznie z gliną)</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4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168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0,1</w:t>
            </w:r>
          </w:p>
        </w:tc>
      </w:tr>
    </w:tbl>
    <w:p w:rsidR="0034055A" w:rsidRPr="007078D3" w:rsidRDefault="0034055A" w:rsidP="00196DDD">
      <w:pPr>
        <w:rPr>
          <w:color w:val="000000"/>
        </w:rPr>
      </w:pPr>
      <w:r w:rsidRPr="007078D3">
        <w:rPr>
          <w:color w:val="000000"/>
        </w:rPr>
        <w:t>Tablica 1.3. Mieszanki z </w:t>
      </w:r>
      <w:r w:rsidRPr="007078D3">
        <w:rPr>
          <w:rStyle w:val="spelle"/>
          <w:rFonts w:ascii="Times New Roman" w:hAnsi="Times New Roman" w:cs="Times New Roman"/>
          <w:color w:val="000000"/>
          <w:szCs w:val="20"/>
        </w:rPr>
        <w:t>przekruszonego</w:t>
      </w:r>
      <w:r w:rsidRPr="007078D3">
        <w:rPr>
          <w:color w:val="000000"/>
        </w:rPr>
        <w:t> betonu i muru</w:t>
      </w:r>
    </w:p>
    <w:tbl>
      <w:tblPr>
        <w:tblW w:w="8868" w:type="dxa"/>
        <w:shd w:val="clear" w:color="auto" w:fill="EAEAEA"/>
        <w:tblCellMar>
          <w:left w:w="0" w:type="dxa"/>
          <w:right w:w="0" w:type="dxa"/>
        </w:tblCellMar>
        <w:tblLook w:val="04A0"/>
      </w:tblPr>
      <w:tblGrid>
        <w:gridCol w:w="2748"/>
        <w:gridCol w:w="4436"/>
        <w:gridCol w:w="1684"/>
      </w:tblGrid>
      <w:tr w:rsidR="0034055A" w:rsidRPr="00EF535A" w:rsidTr="0034055A">
        <w:tc>
          <w:tcPr>
            <w:tcW w:w="7184"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1684"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[%(m/m)]</w:t>
            </w:r>
          </w:p>
        </w:tc>
      </w:tr>
      <w:tr w:rsidR="0034055A" w:rsidRPr="00EF535A" w:rsidTr="0034055A">
        <w:tc>
          <w:tcPr>
            <w:tcW w:w="274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Główne składniki</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rStyle w:val="spelle"/>
                <w:rFonts w:ascii="Times New Roman" w:hAnsi="Times New Roman" w:cs="Times New Roman"/>
                <w:sz w:val="18"/>
                <w:szCs w:val="18"/>
              </w:rPr>
              <w:t>Przekruszony</w:t>
            </w:r>
            <w:r w:rsidRPr="00EF535A">
              <w:rPr>
                <w:sz w:val="18"/>
                <w:szCs w:val="18"/>
              </w:rPr>
              <w:t> beton (gęstość &gt; 2,1 Mg/m</w:t>
            </w:r>
            <w:r w:rsidRPr="00EF535A">
              <w:rPr>
                <w:sz w:val="18"/>
                <w:szCs w:val="18"/>
                <w:vertAlign w:val="superscript"/>
              </w:rPr>
              <w:t>3</w:t>
            </w:r>
            <w:r w:rsidRPr="00EF535A">
              <w:rPr>
                <w:sz w:val="18"/>
                <w:szCs w:val="18"/>
              </w:rPr>
              <w:t>) i kruszywo (łącznie z żużlem)</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Inne materiały ziarniste</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rStyle w:val="spelle"/>
                <w:rFonts w:ascii="Times New Roman" w:hAnsi="Times New Roman" w:cs="Times New Roman"/>
                <w:sz w:val="18"/>
                <w:szCs w:val="18"/>
              </w:rPr>
              <w:t>Przekruszony</w:t>
            </w:r>
            <w:r w:rsidRPr="00EF535A">
              <w:rPr>
                <w:sz w:val="18"/>
                <w:szCs w:val="18"/>
              </w:rPr>
              <w:t> mur</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50</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Destrukt asfaltowy</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Materiały ziarniste o gęstości &gt; 1,6 Mg/m</w:t>
            </w:r>
            <w:r w:rsidRPr="00EF535A">
              <w:rPr>
                <w:sz w:val="18"/>
                <w:szCs w:val="18"/>
                <w:vertAlign w:val="superscript"/>
              </w:rPr>
              <w:t>3</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Zanieczyszczenia</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spoiste (łącznie z gliną)</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0,1</w:t>
            </w:r>
          </w:p>
        </w:tc>
      </w:tr>
    </w:tbl>
    <w:p w:rsidR="0034055A" w:rsidRPr="007078D3" w:rsidRDefault="0034055A" w:rsidP="00196DDD">
      <w:pPr>
        <w:rPr>
          <w:color w:val="000000"/>
        </w:rPr>
      </w:pPr>
      <w:r w:rsidRPr="007078D3">
        <w:rPr>
          <w:color w:val="000000"/>
        </w:rPr>
        <w:t>Tablica 1.4. </w:t>
      </w:r>
      <w:r w:rsidRPr="007078D3">
        <w:rPr>
          <w:rStyle w:val="spelle"/>
          <w:rFonts w:ascii="Times New Roman" w:hAnsi="Times New Roman" w:cs="Times New Roman"/>
          <w:color w:val="000000"/>
          <w:szCs w:val="20"/>
        </w:rPr>
        <w:t>Przekruszone</w:t>
      </w:r>
      <w:r w:rsidRPr="007078D3">
        <w:rPr>
          <w:color w:val="000000"/>
        </w:rPr>
        <w:t> materiały drogowe</w:t>
      </w:r>
    </w:p>
    <w:tbl>
      <w:tblPr>
        <w:tblW w:w="8868" w:type="dxa"/>
        <w:shd w:val="clear" w:color="auto" w:fill="EAEAEA"/>
        <w:tblCellMar>
          <w:left w:w="0" w:type="dxa"/>
          <w:right w:w="0" w:type="dxa"/>
        </w:tblCellMar>
        <w:tblLook w:val="04A0"/>
      </w:tblPr>
      <w:tblGrid>
        <w:gridCol w:w="2748"/>
        <w:gridCol w:w="4436"/>
        <w:gridCol w:w="1684"/>
      </w:tblGrid>
      <w:tr w:rsidR="0034055A" w:rsidRPr="00EF535A" w:rsidTr="0034055A">
        <w:tc>
          <w:tcPr>
            <w:tcW w:w="7184"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1684"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[%(m/m)]</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Główne składniki</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Materiały drogowe – łącznie z kruszonym betonem, niezwiązanymi kruszywami i </w:t>
            </w:r>
            <w:r w:rsidRPr="00EF535A">
              <w:rPr>
                <w:rStyle w:val="spelle"/>
                <w:rFonts w:ascii="Times New Roman" w:hAnsi="Times New Roman" w:cs="Times New Roman"/>
                <w:sz w:val="18"/>
                <w:szCs w:val="18"/>
              </w:rPr>
              <w:t>przekruszone</w:t>
            </w:r>
            <w:r w:rsidRPr="00EF535A">
              <w:rPr>
                <w:sz w:val="18"/>
                <w:szCs w:val="18"/>
              </w:rPr>
              <w:t> mieszanki kruszyw związane hydraulicznie</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 90</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Destrukt asfaltowy</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30</w:t>
            </w:r>
          </w:p>
        </w:tc>
      </w:tr>
      <w:tr w:rsidR="0034055A" w:rsidRPr="00EF535A" w:rsidTr="0034055A">
        <w:tc>
          <w:tcPr>
            <w:tcW w:w="274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Zanieczyszczenia</w:t>
            </w: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spoiste (łącznie z gliną)</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1</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436"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1684"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0,1</w:t>
            </w:r>
          </w:p>
        </w:tc>
      </w:tr>
    </w:tbl>
    <w:p w:rsidR="0034055A" w:rsidRPr="007078D3" w:rsidRDefault="0034055A" w:rsidP="00196DDD">
      <w:pPr>
        <w:rPr>
          <w:color w:val="000000"/>
        </w:rPr>
      </w:pPr>
      <w:r w:rsidRPr="007078D3">
        <w:rPr>
          <w:b/>
          <w:bCs/>
          <w:color w:val="000000"/>
        </w:rPr>
        <w:t> </w:t>
      </w:r>
    </w:p>
    <w:p w:rsidR="0034055A" w:rsidRPr="007078D3" w:rsidRDefault="0034055A" w:rsidP="00196DDD">
      <w:pPr>
        <w:rPr>
          <w:color w:val="000000"/>
        </w:rPr>
      </w:pPr>
      <w:r w:rsidRPr="007078D3">
        <w:rPr>
          <w:color w:val="000000"/>
        </w:rPr>
        <w:t>Tablica 1.5. Popiół powstały ze spalania odpadów komunalnych</w:t>
      </w:r>
    </w:p>
    <w:tbl>
      <w:tblPr>
        <w:tblW w:w="8868" w:type="dxa"/>
        <w:shd w:val="clear" w:color="auto" w:fill="EAEAEA"/>
        <w:tblCellMar>
          <w:left w:w="0" w:type="dxa"/>
          <w:right w:w="0" w:type="dxa"/>
        </w:tblCellMar>
        <w:tblLook w:val="04A0"/>
      </w:tblPr>
      <w:tblGrid>
        <w:gridCol w:w="2028"/>
        <w:gridCol w:w="4320"/>
        <w:gridCol w:w="2520"/>
      </w:tblGrid>
      <w:tr w:rsidR="0034055A" w:rsidRPr="00EF535A" w:rsidTr="0034055A">
        <w:tc>
          <w:tcPr>
            <w:tcW w:w="6348" w:type="dxa"/>
            <w:gridSpan w:val="2"/>
            <w:tcBorders>
              <w:top w:val="single" w:sz="8" w:space="0" w:color="auto"/>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w:t>
            </w:r>
          </w:p>
        </w:tc>
        <w:tc>
          <w:tcPr>
            <w:tcW w:w="2520" w:type="dxa"/>
            <w:tcBorders>
              <w:top w:val="single" w:sz="8" w:space="0" w:color="auto"/>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Zawartość grubego kruszywa [%(m/m)]</w:t>
            </w:r>
          </w:p>
        </w:tc>
      </w:tr>
      <w:tr w:rsidR="0034055A" w:rsidRPr="00EF535A" w:rsidTr="0034055A">
        <w:tc>
          <w:tcPr>
            <w:tcW w:w="202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Główne składniki</w:t>
            </w: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Ziarniste substancje mineralne, łącznie ze szkłem, ceramiką, żużlem itp.</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90</w:t>
            </w:r>
          </w:p>
        </w:tc>
      </w:tr>
      <w:tr w:rsidR="0034055A" w:rsidRPr="00EF535A" w:rsidTr="0034055A">
        <w:tc>
          <w:tcPr>
            <w:tcW w:w="2028" w:type="dxa"/>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Inne składniki</w:t>
            </w: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Żelazo i inne metale</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w:t>
            </w:r>
          </w:p>
        </w:tc>
      </w:tr>
      <w:tr w:rsidR="0034055A" w:rsidRPr="00EF535A" w:rsidTr="0034055A">
        <w:tc>
          <w:tcPr>
            <w:tcW w:w="2028" w:type="dxa"/>
            <w:vMerge w:val="restart"/>
            <w:tcBorders>
              <w:top w:val="nil"/>
              <w:left w:val="single" w:sz="8" w:space="0" w:color="auto"/>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w:t>
            </w:r>
          </w:p>
          <w:p w:rsidR="0034055A" w:rsidRPr="00EF535A" w:rsidRDefault="0034055A" w:rsidP="00196DDD">
            <w:pPr>
              <w:rPr>
                <w:sz w:val="18"/>
                <w:szCs w:val="18"/>
              </w:rPr>
            </w:pPr>
            <w:r w:rsidRPr="00EF535A">
              <w:rPr>
                <w:sz w:val="18"/>
                <w:szCs w:val="18"/>
              </w:rPr>
              <w:t>Zanieczyszczenia</w:t>
            </w: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niespalone</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6</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Składniki organiczne</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 5</w:t>
            </w:r>
          </w:p>
        </w:tc>
      </w:tr>
      <w:tr w:rsidR="0034055A" w:rsidRPr="00EF535A" w:rsidTr="0034055A">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34055A" w:rsidRPr="00EF535A" w:rsidRDefault="0034055A" w:rsidP="00196DDD">
            <w:pPr>
              <w:rPr>
                <w:sz w:val="18"/>
                <w:szCs w:val="18"/>
              </w:rPr>
            </w:pPr>
          </w:p>
        </w:tc>
        <w:tc>
          <w:tcPr>
            <w:tcW w:w="43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Popiół lotny ze spalania odpadów komunalnych</w:t>
            </w:r>
          </w:p>
        </w:tc>
        <w:tc>
          <w:tcPr>
            <w:tcW w:w="2520" w:type="dxa"/>
            <w:tcBorders>
              <w:top w:val="nil"/>
              <w:left w:val="nil"/>
              <w:bottom w:val="single" w:sz="8" w:space="0" w:color="auto"/>
              <w:right w:val="single" w:sz="8" w:space="0" w:color="auto"/>
            </w:tcBorders>
            <w:shd w:val="clear" w:color="auto" w:fill="EAEAEA"/>
            <w:tcMar>
              <w:top w:w="0" w:type="dxa"/>
              <w:left w:w="108" w:type="dxa"/>
              <w:bottom w:w="0" w:type="dxa"/>
              <w:right w:w="108" w:type="dxa"/>
            </w:tcMar>
            <w:hideMark/>
          </w:tcPr>
          <w:p w:rsidR="0034055A" w:rsidRPr="00EF535A" w:rsidRDefault="0034055A" w:rsidP="00196DDD">
            <w:pPr>
              <w:rPr>
                <w:sz w:val="18"/>
                <w:szCs w:val="18"/>
              </w:rPr>
            </w:pPr>
            <w:r w:rsidRPr="00EF535A">
              <w:rPr>
                <w:sz w:val="18"/>
                <w:szCs w:val="18"/>
              </w:rPr>
              <w:t>0</w:t>
            </w:r>
          </w:p>
        </w:tc>
      </w:tr>
    </w:tbl>
    <w:p w:rsidR="0034055A" w:rsidRPr="007078D3" w:rsidRDefault="0034055A" w:rsidP="00196DDD">
      <w:pPr>
        <w:rPr>
          <w:color w:val="000000"/>
        </w:rPr>
      </w:pPr>
      <w:r w:rsidRPr="007078D3">
        <w:rPr>
          <w:b/>
          <w:bCs/>
          <w:color w:val="000000"/>
        </w:rPr>
        <w:t> </w:t>
      </w:r>
    </w:p>
    <w:p w:rsidR="0034055A" w:rsidRPr="007078D3" w:rsidRDefault="0034055A" w:rsidP="00196DDD">
      <w:pPr>
        <w:rPr>
          <w:color w:val="000000"/>
        </w:rPr>
      </w:pPr>
      <w:r w:rsidRPr="007078D3">
        <w:rPr>
          <w:b/>
          <w:bCs/>
          <w:color w:val="FF0000"/>
        </w:rPr>
        <w:t> </w:t>
      </w:r>
    </w:p>
    <w:p w:rsidR="0034055A" w:rsidRPr="007078D3" w:rsidRDefault="0034055A" w:rsidP="00196DDD">
      <w:pPr>
        <w:rPr>
          <w:color w:val="000000"/>
        </w:rPr>
      </w:pPr>
      <w:r w:rsidRPr="007078D3">
        <w:rPr>
          <w:b/>
          <w:bCs/>
          <w:color w:val="000000"/>
        </w:rPr>
        <w:t>ZAŁĄCZNIK 3</w:t>
      </w:r>
    </w:p>
    <w:p w:rsidR="0034055A" w:rsidRPr="007078D3" w:rsidRDefault="0034055A" w:rsidP="00196DDD">
      <w:pPr>
        <w:rPr>
          <w:color w:val="000000"/>
        </w:rPr>
      </w:pPr>
      <w:bookmarkStart w:id="1275" w:name="_Hlk112150032"/>
      <w:r w:rsidRPr="007078D3">
        <w:rPr>
          <w:color w:val="000000"/>
        </w:rPr>
        <w:t>PRZYKŁADY  KONSTRUKCJI  NAWIERZCHNI PODATNYCH  Z   PODBUDOWĄ  ZASADNICZĄ  Z  KRUSZYWA  NIEZWIĄZANEGO</w:t>
      </w:r>
      <w:bookmarkEnd w:id="1275"/>
    </w:p>
    <w:p w:rsidR="0034055A" w:rsidRPr="007078D3" w:rsidRDefault="0034055A" w:rsidP="00196DDD">
      <w:pPr>
        <w:rPr>
          <w:color w:val="000000"/>
        </w:rPr>
      </w:pPr>
      <w:r w:rsidRPr="007078D3">
        <w:rPr>
          <w:color w:val="000000"/>
        </w:rPr>
        <w:t>(na podstawie [23])</w:t>
      </w:r>
    </w:p>
    <w:p w:rsidR="0034055A" w:rsidRPr="007078D3" w:rsidRDefault="0034055A" w:rsidP="00196DDD">
      <w:pPr>
        <w:rPr>
          <w:color w:val="000000"/>
        </w:rPr>
      </w:pPr>
      <w:r w:rsidRPr="007078D3">
        <w:rPr>
          <w:color w:val="000000"/>
        </w:rPr>
        <w:t>Typowe konstrukcje górnych warstw nawierzchni podatnych – typ A1</w:t>
      </w:r>
      <w:r w:rsidRPr="007078D3">
        <w:rPr>
          <w:color w:val="000000"/>
        </w:rPr>
        <w:br/>
        <w:t>Podbudowa zasadnicza: beton asfaltowy AC, mieszanka niezwiązana z kruszywem C</w:t>
      </w:r>
      <w:r w:rsidRPr="007078D3">
        <w:rPr>
          <w:color w:val="000000"/>
          <w:vertAlign w:val="subscript"/>
        </w:rPr>
        <w:t>90/3</w:t>
      </w:r>
    </w:p>
    <w:p w:rsidR="0034055A" w:rsidRPr="007078D3" w:rsidRDefault="0034055A" w:rsidP="00196DDD">
      <w:pPr>
        <w:rPr>
          <w:color w:val="000000"/>
        </w:rPr>
      </w:pPr>
      <w:r w:rsidRPr="007078D3">
        <w:rPr>
          <w:noProof/>
          <w:color w:val="000000"/>
          <w:lang w:eastAsia="pl-PL"/>
        </w:rPr>
        <w:lastRenderedPageBreak/>
        <w:drawing>
          <wp:inline distT="0" distB="0" distL="0" distR="0">
            <wp:extent cx="5569585" cy="2600960"/>
            <wp:effectExtent l="0" t="0" r="0" b="0"/>
            <wp:docPr id="1789946829"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69585" cy="2600960"/>
                    </a:xfrm>
                    <a:prstGeom prst="rect">
                      <a:avLst/>
                    </a:prstGeom>
                    <a:noFill/>
                    <a:ln>
                      <a:noFill/>
                    </a:ln>
                  </pic:spPr>
                </pic:pic>
              </a:graphicData>
            </a:graphic>
          </wp:inline>
        </w:drawing>
      </w:r>
    </w:p>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color w:val="000000"/>
        </w:rPr>
        <w:t>2.     Typowe konstrukcje górnych warstw nawierzchni podatnych – typ A2</w:t>
      </w:r>
      <w:r w:rsidRPr="007078D3">
        <w:rPr>
          <w:color w:val="000000"/>
        </w:rPr>
        <w:br/>
        <w:t>Podbudowa zasadnicza: beton asfaltowy AC, mieszanka niezwiązana z kruszywem C</w:t>
      </w:r>
      <w:r w:rsidRPr="007078D3">
        <w:rPr>
          <w:color w:val="000000"/>
          <w:vertAlign w:val="subscript"/>
        </w:rPr>
        <w:t>50/30</w:t>
      </w:r>
    </w:p>
    <w:p w:rsidR="0034055A" w:rsidRPr="007078D3" w:rsidRDefault="0034055A" w:rsidP="00196DDD">
      <w:pPr>
        <w:rPr>
          <w:color w:val="000000"/>
        </w:rPr>
      </w:pPr>
      <w:r w:rsidRPr="007078D3">
        <w:rPr>
          <w:noProof/>
          <w:color w:val="000000"/>
          <w:lang w:eastAsia="pl-PL"/>
        </w:rPr>
        <w:drawing>
          <wp:inline distT="0" distB="0" distL="0" distR="0">
            <wp:extent cx="5569585" cy="2660015"/>
            <wp:effectExtent l="0" t="0" r="0" b="0"/>
            <wp:docPr id="1501684509"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69585" cy="2660015"/>
                    </a:xfrm>
                    <a:prstGeom prst="rect">
                      <a:avLst/>
                    </a:prstGeom>
                    <a:noFill/>
                    <a:ln>
                      <a:noFill/>
                    </a:ln>
                  </pic:spPr>
                </pic:pic>
              </a:graphicData>
            </a:graphic>
          </wp:inline>
        </w:drawing>
      </w:r>
    </w:p>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color w:val="000000"/>
        </w:rPr>
        <w:t>3.     Typowe konstrukcje górnych warstw nawierzchni podatnych – typ A3</w:t>
      </w:r>
      <w:r w:rsidRPr="007078D3">
        <w:rPr>
          <w:color w:val="000000"/>
        </w:rPr>
        <w:br/>
        <w:t>Podbudowa zasadnicza: beton asfaltowy AC, mieszanka niezwiązana z kruszywem C</w:t>
      </w:r>
      <w:r w:rsidRPr="007078D3">
        <w:rPr>
          <w:color w:val="000000"/>
          <w:vertAlign w:val="subscript"/>
        </w:rPr>
        <w:t>NR</w:t>
      </w:r>
    </w:p>
    <w:p w:rsidR="0034055A" w:rsidRPr="007078D3" w:rsidRDefault="0034055A" w:rsidP="00196DDD">
      <w:pPr>
        <w:rPr>
          <w:color w:val="000000"/>
        </w:rPr>
      </w:pPr>
      <w:r w:rsidRPr="007078D3">
        <w:rPr>
          <w:noProof/>
          <w:color w:val="000000"/>
          <w:lang w:eastAsia="pl-PL"/>
        </w:rPr>
        <w:drawing>
          <wp:inline distT="0" distB="0" distL="0" distR="0">
            <wp:extent cx="5581650" cy="2529205"/>
            <wp:effectExtent l="0" t="0" r="0" b="0"/>
            <wp:docPr id="2113128836"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2529205"/>
                    </a:xfrm>
                    <a:prstGeom prst="rect">
                      <a:avLst/>
                    </a:prstGeom>
                    <a:noFill/>
                    <a:ln>
                      <a:noFill/>
                    </a:ln>
                  </pic:spPr>
                </pic:pic>
              </a:graphicData>
            </a:graphic>
          </wp:inline>
        </w:drawing>
      </w:r>
    </w:p>
    <w:p w:rsidR="0034055A" w:rsidRPr="007078D3" w:rsidRDefault="0034055A" w:rsidP="00196DDD">
      <w:pPr>
        <w:rPr>
          <w:color w:val="000000"/>
        </w:rPr>
      </w:pPr>
      <w:r w:rsidRPr="007078D3">
        <w:rPr>
          <w:color w:val="000000"/>
        </w:rPr>
        <w:t> </w:t>
      </w:r>
    </w:p>
    <w:p w:rsidR="0034055A" w:rsidRPr="007078D3" w:rsidRDefault="0034055A" w:rsidP="00196DDD">
      <w:pPr>
        <w:rPr>
          <w:color w:val="000000"/>
        </w:rPr>
      </w:pPr>
      <w:r w:rsidRPr="007078D3">
        <w:rPr>
          <w:b/>
          <w:bCs/>
          <w:color w:val="000000"/>
        </w:rPr>
        <w:t>ZAŁĄCZNIK 4</w:t>
      </w:r>
    </w:p>
    <w:p w:rsidR="0034055A" w:rsidRPr="007078D3" w:rsidRDefault="0034055A" w:rsidP="00ED04E8">
      <w:pPr>
        <w:pStyle w:val="Nagwek2"/>
        <w:spacing w:before="0" w:beforeAutospacing="0" w:after="0" w:afterAutospacing="0"/>
        <w:rPr>
          <w:rFonts w:ascii="Times New Roman" w:hAnsi="Times New Roman"/>
          <w:color w:val="000000"/>
          <w:szCs w:val="20"/>
        </w:rPr>
      </w:pPr>
      <w:r w:rsidRPr="007078D3">
        <w:rPr>
          <w:rFonts w:ascii="Times New Roman" w:hAnsi="Times New Roman"/>
          <w:color w:val="000000"/>
          <w:szCs w:val="20"/>
        </w:rPr>
        <w:t>PRZYKŁADY  KONSTRUKCJI  NAWIERZCHNI  Z  PODBUDOWĄ  ZASADNICZĄ  Z  KRUSZYWA  NIEZWIĄZANEGO</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lastRenderedPageBreak/>
        <w:t>(na podstawie opracowania „Projektowanie i elementy budowy dróg rolniczych i wiejskich”, Instytut Budownictwa, Mechanizacji i Elektryfikacji Rolnictwa – Instytut Badawczy Dróg i Mostów, Warszawa 1986)</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Kruszywo łamane naturalne</w:t>
      </w:r>
    </w:p>
    <w:tbl>
      <w:tblPr>
        <w:tblW w:w="0" w:type="auto"/>
        <w:shd w:val="clear" w:color="auto" w:fill="EAEAEA"/>
        <w:tblCellMar>
          <w:left w:w="0" w:type="dxa"/>
          <w:right w:w="0" w:type="dxa"/>
        </w:tblCellMar>
        <w:tblLook w:val="04A0"/>
      </w:tblPr>
      <w:tblGrid>
        <w:gridCol w:w="2988"/>
        <w:gridCol w:w="5939"/>
      </w:tblGrid>
      <w:tr w:rsidR="0034055A" w:rsidRPr="007078D3" w:rsidTr="0034055A">
        <w:tc>
          <w:tcPr>
            <w:tcW w:w="2988" w:type="dxa"/>
            <w:shd w:val="clear" w:color="auto" w:fill="EAEAEA"/>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437005" cy="1567815"/>
                  <wp:effectExtent l="0" t="0" r="0" b="0"/>
                  <wp:docPr id="1834222508"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37005" cy="1567815"/>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tc>
        <w:tc>
          <w:tcPr>
            <w:tcW w:w="5939" w:type="dxa"/>
            <w:shd w:val="clear" w:color="auto" w:fill="EAEAEA"/>
            <w:noWrap/>
            <w:tcMar>
              <w:top w:w="0" w:type="dxa"/>
              <w:left w:w="108" w:type="dxa"/>
              <w:bottom w:w="0" w:type="dxa"/>
              <w:right w:w="108" w:type="dxa"/>
            </w:tcMar>
            <w:vAlign w:val="cente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Warstwa ścieralna asfaltowa</w:t>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na podbudowie zasadniczej z kruszywa łamanego lub naturalnego niezwiązanego i podbudowie pomocniczej z gruntu wzmocnionego spoiwem hydraulicznym</w:t>
            </w:r>
          </w:p>
        </w:tc>
      </w:tr>
      <w:tr w:rsidR="0034055A" w:rsidRPr="007078D3" w:rsidTr="0034055A">
        <w:tc>
          <w:tcPr>
            <w:tcW w:w="2988" w:type="dxa"/>
            <w:shd w:val="clear" w:color="auto" w:fill="EAEAEA"/>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496060" cy="1520190"/>
                  <wp:effectExtent l="0" t="0" r="0" b="0"/>
                  <wp:docPr id="2139182919"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96060" cy="1520190"/>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tc>
        <w:tc>
          <w:tcPr>
            <w:tcW w:w="5939" w:type="dxa"/>
            <w:shd w:val="clear" w:color="auto" w:fill="EAEAEA"/>
            <w:noWrap/>
            <w:tcMar>
              <w:top w:w="0" w:type="dxa"/>
              <w:left w:w="108" w:type="dxa"/>
              <w:bottom w:w="0" w:type="dxa"/>
              <w:right w:w="108" w:type="dxa"/>
            </w:tcMar>
            <w:vAlign w:val="cente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Warstwa ścieralna z kruszywa łamanego lub naturalnego niezwiązanego na podbudowie zasadniczej z kruszywa naturalnego niezwiązanego i podbudowie pomocniczej z gruntu wzmocnionego spoiwem hydraulicznym</w:t>
            </w:r>
          </w:p>
        </w:tc>
      </w:tr>
      <w:tr w:rsidR="0034055A" w:rsidRPr="007078D3" w:rsidTr="0034055A">
        <w:tc>
          <w:tcPr>
            <w:tcW w:w="2988" w:type="dxa"/>
            <w:shd w:val="clear" w:color="auto" w:fill="EAEAEA"/>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520190" cy="2185035"/>
                  <wp:effectExtent l="0" t="0" r="0" b="0"/>
                  <wp:docPr id="751322806"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0190" cy="2185035"/>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tc>
        <w:tc>
          <w:tcPr>
            <w:tcW w:w="5939" w:type="dxa"/>
            <w:shd w:val="clear" w:color="auto" w:fill="EAEAEA"/>
            <w:noWrap/>
            <w:tcMar>
              <w:top w:w="0" w:type="dxa"/>
              <w:left w:w="108" w:type="dxa"/>
              <w:bottom w:w="0" w:type="dxa"/>
              <w:right w:w="108" w:type="dxa"/>
            </w:tcMar>
            <w:vAlign w:val="cente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Warstwa ścieralna asfaltowa</w:t>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na podbudowie zasadniczej z kruszywa łamanego lub naturalnego niezwiązanego i warstwie odsączającej z piasku</w:t>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Oznaczenia na rysunkach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7 – warstwa gruntu związana spoiwem hydraulicznym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10 – warstwa kruszywa niezwiązanego łamanego</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11 – warstwa kruszywa niezwiązanego naturalnego</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14 – warstwa odsączająca z piasku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Grubość warstw podano w cm</w:t>
      </w:r>
    </w:p>
    <w:p w:rsidR="00D50B30" w:rsidRPr="007078D3" w:rsidRDefault="00D50B30" w:rsidP="00ED04E8">
      <w:pPr>
        <w:rPr>
          <w:rFonts w:ascii="Times New Roman" w:hAnsi="Times New Roman" w:cs="Times New Roman"/>
          <w:szCs w:val="20"/>
        </w:rPr>
      </w:pPr>
    </w:p>
    <w:p w:rsidR="00D50B30" w:rsidRDefault="00D50B30" w:rsidP="00ED04E8">
      <w:pPr>
        <w:rPr>
          <w:rFonts w:ascii="Times New Roman" w:hAnsi="Times New Roman" w:cs="Times New Roman"/>
          <w:szCs w:val="20"/>
        </w:rPr>
      </w:pPr>
    </w:p>
    <w:p w:rsidR="00ED04E8" w:rsidRDefault="00ED04E8" w:rsidP="00ED04E8">
      <w:pPr>
        <w:rPr>
          <w:rFonts w:ascii="Times New Roman" w:hAnsi="Times New Roman" w:cs="Times New Roman"/>
          <w:szCs w:val="20"/>
        </w:rPr>
      </w:pPr>
    </w:p>
    <w:p w:rsidR="00ED04E8" w:rsidRDefault="00ED04E8" w:rsidP="00ED04E8">
      <w:pPr>
        <w:rPr>
          <w:rFonts w:ascii="Times New Roman" w:hAnsi="Times New Roman" w:cs="Times New Roman"/>
          <w:szCs w:val="20"/>
        </w:rPr>
      </w:pPr>
    </w:p>
    <w:p w:rsidR="00ED04E8" w:rsidRDefault="00ED04E8" w:rsidP="00ED04E8">
      <w:pPr>
        <w:rPr>
          <w:rFonts w:ascii="Times New Roman" w:hAnsi="Times New Roman" w:cs="Times New Roman"/>
          <w:szCs w:val="20"/>
        </w:rPr>
      </w:pPr>
    </w:p>
    <w:p w:rsidR="00ED04E8" w:rsidRDefault="00ED04E8" w:rsidP="00ED04E8">
      <w:pPr>
        <w:rPr>
          <w:rFonts w:ascii="Times New Roman" w:hAnsi="Times New Roman" w:cs="Times New Roman"/>
          <w:szCs w:val="20"/>
        </w:rPr>
      </w:pPr>
    </w:p>
    <w:p w:rsidR="00ED04E8" w:rsidRDefault="00ED04E8" w:rsidP="00ED04E8">
      <w:pPr>
        <w:rPr>
          <w:rFonts w:ascii="Times New Roman" w:hAnsi="Times New Roman" w:cs="Times New Roman"/>
          <w:szCs w:val="20"/>
        </w:rPr>
      </w:pPr>
    </w:p>
    <w:p w:rsidR="00ED04E8" w:rsidRDefault="00ED04E8" w:rsidP="00ED04E8">
      <w:pPr>
        <w:rPr>
          <w:rFonts w:ascii="Times New Roman" w:hAnsi="Times New Roman" w:cs="Times New Roman"/>
          <w:szCs w:val="20"/>
        </w:rPr>
      </w:pPr>
    </w:p>
    <w:p w:rsidR="00061EAA" w:rsidRDefault="00061EAA" w:rsidP="00ED04E8">
      <w:pPr>
        <w:rPr>
          <w:rFonts w:ascii="Times New Roman" w:hAnsi="Times New Roman" w:cs="Times New Roman"/>
          <w:szCs w:val="20"/>
        </w:rPr>
      </w:pPr>
    </w:p>
    <w:p w:rsidR="00061EAA" w:rsidRDefault="00061EAA" w:rsidP="00ED04E8">
      <w:pPr>
        <w:rPr>
          <w:rFonts w:ascii="Times New Roman" w:hAnsi="Times New Roman" w:cs="Times New Roman"/>
          <w:szCs w:val="20"/>
        </w:rPr>
      </w:pPr>
    </w:p>
    <w:p w:rsidR="00061EAA" w:rsidRDefault="00061EAA" w:rsidP="00ED04E8">
      <w:pPr>
        <w:rPr>
          <w:rFonts w:ascii="Times New Roman" w:hAnsi="Times New Roman" w:cs="Times New Roman"/>
          <w:szCs w:val="20"/>
        </w:rPr>
      </w:pPr>
    </w:p>
    <w:p w:rsidR="00061EAA" w:rsidRDefault="00061EAA" w:rsidP="00ED04E8">
      <w:pPr>
        <w:rPr>
          <w:rFonts w:ascii="Times New Roman" w:hAnsi="Times New Roman" w:cs="Times New Roman"/>
          <w:szCs w:val="20"/>
        </w:rPr>
      </w:pPr>
    </w:p>
    <w:p w:rsidR="00ED04E8" w:rsidRDefault="00ED04E8" w:rsidP="00ED04E8">
      <w:pPr>
        <w:rPr>
          <w:rFonts w:ascii="Times New Roman" w:hAnsi="Times New Roman" w:cs="Times New Roman"/>
          <w:szCs w:val="20"/>
        </w:rPr>
      </w:pPr>
    </w:p>
    <w:p w:rsidR="00ED04E8" w:rsidRDefault="00ED04E8" w:rsidP="00ED04E8">
      <w:pPr>
        <w:rPr>
          <w:rFonts w:ascii="Times New Roman" w:hAnsi="Times New Roman" w:cs="Times New Roman"/>
          <w:szCs w:val="20"/>
        </w:rPr>
      </w:pPr>
    </w:p>
    <w:p w:rsidR="00ED04E8" w:rsidRDefault="00ED04E8" w:rsidP="00ED04E8">
      <w:pPr>
        <w:rPr>
          <w:rFonts w:ascii="Times New Roman" w:hAnsi="Times New Roman" w:cs="Times New Roman"/>
          <w:szCs w:val="20"/>
        </w:rPr>
      </w:pPr>
    </w:p>
    <w:p w:rsidR="00D51F32" w:rsidRPr="007078D3" w:rsidRDefault="00D51F32" w:rsidP="00ED04E8">
      <w:pPr>
        <w:pStyle w:val="Bezodstpw"/>
        <w:spacing w:line="240" w:lineRule="auto"/>
        <w:rPr>
          <w:rFonts w:ascii="Times New Roman" w:hAnsi="Times New Roman" w:cs="Times New Roman"/>
          <w:sz w:val="20"/>
          <w:szCs w:val="20"/>
        </w:rPr>
      </w:pPr>
    </w:p>
    <w:p w:rsidR="0034055A" w:rsidRPr="007078D3" w:rsidRDefault="0034055A" w:rsidP="00ED04E8">
      <w:pPr>
        <w:pStyle w:val="Bezodstpw"/>
        <w:spacing w:line="240" w:lineRule="auto"/>
        <w:rPr>
          <w:rFonts w:ascii="Times New Roman" w:hAnsi="Times New Roman" w:cs="Times New Roman"/>
          <w:sz w:val="20"/>
          <w:szCs w:val="20"/>
          <w:lang w:eastAsia="pl-PL"/>
        </w:rPr>
      </w:pPr>
      <w:bookmarkStart w:id="1276" w:name="_Toc421940496"/>
      <w:bookmarkStart w:id="1277" w:name="_Toc107904513"/>
      <w:bookmarkStart w:id="1278" w:name="_Toc221170392"/>
      <w:r w:rsidRPr="007078D3">
        <w:rPr>
          <w:rFonts w:ascii="Times New Roman" w:hAnsi="Times New Roman" w:cs="Times New Roman"/>
          <w:sz w:val="20"/>
          <w:szCs w:val="20"/>
          <w:lang w:eastAsia="pl-PL"/>
        </w:rPr>
        <w:t>D - 05.03.23a NAWIERZCHNIA  Z  BETONOWEJ  K</w:t>
      </w:r>
      <w:r w:rsidR="00061EAA">
        <w:rPr>
          <w:rFonts w:ascii="Times New Roman" w:hAnsi="Times New Roman" w:cs="Times New Roman"/>
          <w:sz w:val="20"/>
          <w:szCs w:val="20"/>
          <w:lang w:eastAsia="pl-PL"/>
        </w:rPr>
        <w:t>OST</w:t>
      </w:r>
      <w:r w:rsidRPr="007078D3">
        <w:rPr>
          <w:rFonts w:ascii="Times New Roman" w:hAnsi="Times New Roman" w:cs="Times New Roman"/>
          <w:sz w:val="20"/>
          <w:szCs w:val="20"/>
          <w:lang w:eastAsia="pl-PL"/>
        </w:rPr>
        <w:t>KI BRUKOWEJ  DLA  DRÓG  I  ULIC  ORAZ  PLACÓW  I  CHODNIKÓW</w:t>
      </w:r>
      <w:bookmarkEnd w:id="1278"/>
    </w:p>
    <w:p w:rsidR="00892D30" w:rsidRPr="007078D3" w:rsidRDefault="00892D30" w:rsidP="00ED04E8">
      <w:pPr>
        <w:pStyle w:val="Nagwek1"/>
        <w:spacing w:before="0" w:beforeAutospacing="0" w:after="0" w:afterAutospacing="0"/>
        <w:rPr>
          <w:rFonts w:ascii="Times New Roman" w:hAnsi="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 WSTĘP</w:t>
      </w:r>
      <w:bookmarkEnd w:id="1276"/>
      <w:bookmarkEnd w:id="1277"/>
    </w:p>
    <w:p w:rsidR="00892D30" w:rsidRPr="007078D3" w:rsidRDefault="00892D30"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1.1. Przedmiot </w:t>
      </w:r>
      <w:r w:rsidR="00855643" w:rsidRPr="007078D3">
        <w:rPr>
          <w:rFonts w:ascii="Times New Roman" w:hAnsi="Times New Roman" w:cs="Times New Roman"/>
          <w:szCs w:val="20"/>
        </w:rPr>
        <w:t>SST</w:t>
      </w:r>
    </w:p>
    <w:p w:rsidR="003C3080" w:rsidRPr="007078D3" w:rsidRDefault="003C3080"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Przedmiotem niniejszej ogólnej specyfikacji technicznej (</w:t>
      </w:r>
      <w:r w:rsidR="00855643" w:rsidRPr="007078D3">
        <w:rPr>
          <w:rFonts w:ascii="Times New Roman" w:hAnsi="Times New Roman" w:cs="Times New Roman"/>
          <w:szCs w:val="20"/>
        </w:rPr>
        <w:t>SST</w:t>
      </w:r>
      <w:r w:rsidRPr="007078D3">
        <w:rPr>
          <w:rFonts w:ascii="Times New Roman" w:hAnsi="Times New Roman" w:cs="Times New Roman"/>
          <w:szCs w:val="20"/>
        </w:rPr>
        <w:t>) są wymagania dotyczące wykonania i odbioru robót związanych z wykonywaniem nawierzchni z kostki brukowej betonowej.</w:t>
      </w:r>
    </w:p>
    <w:p w:rsidR="003C3080" w:rsidRPr="007078D3" w:rsidRDefault="003C3080"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1.2. Zakres stosowania </w:t>
      </w:r>
      <w:r w:rsidR="00855643" w:rsidRPr="007078D3">
        <w:rPr>
          <w:rFonts w:ascii="Times New Roman" w:hAnsi="Times New Roman" w:cs="Times New Roman"/>
          <w:szCs w:val="20"/>
        </w:rPr>
        <w:t>SST</w:t>
      </w:r>
    </w:p>
    <w:p w:rsidR="003C3080" w:rsidRPr="007078D3" w:rsidRDefault="003C3080" w:rsidP="00ED04E8">
      <w:pPr>
        <w:rPr>
          <w:rFonts w:ascii="Times New Roman" w:hAnsi="Times New Roman" w:cs="Times New Roman"/>
          <w:szCs w:val="20"/>
        </w:rPr>
      </w:pPr>
    </w:p>
    <w:p w:rsidR="003C3080" w:rsidRPr="007078D3" w:rsidRDefault="003C3080" w:rsidP="00ED04E8">
      <w:pPr>
        <w:rPr>
          <w:rFonts w:ascii="Times New Roman" w:hAnsi="Times New Roman" w:cs="Times New Roman"/>
          <w:szCs w:val="20"/>
        </w:rPr>
      </w:pPr>
      <w:r w:rsidRPr="007078D3">
        <w:rPr>
          <w:rFonts w:ascii="Times New Roman" w:hAnsi="Times New Roman" w:cs="Times New Roman"/>
          <w:szCs w:val="20"/>
        </w:rPr>
        <w:t>Szczegółowa specyfikacja techniczna dotyczy robót wyszczególnionych w punkcie 1.3.</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1.3. Zakres robót objętych </w:t>
      </w:r>
      <w:r w:rsidR="00855643" w:rsidRPr="007078D3">
        <w:rPr>
          <w:rFonts w:ascii="Times New Roman" w:hAnsi="Times New Roman" w:cs="Times New Roman"/>
          <w:szCs w:val="20"/>
        </w:rPr>
        <w:t>SST</w:t>
      </w:r>
    </w:p>
    <w:p w:rsidR="003C3080" w:rsidRPr="007078D3" w:rsidRDefault="003C3080"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Ustalenia zawarte w niniejszej specyfikacji dotyczą zasad prowadzenia robót związanych z wykonywaniem nawierzchni z kostki brukowej betonowej.</w:t>
      </w:r>
    </w:p>
    <w:p w:rsidR="00487560" w:rsidRPr="007078D3" w:rsidRDefault="00487560" w:rsidP="00ED04E8">
      <w:pPr>
        <w:rPr>
          <w:rFonts w:ascii="Times New Roman" w:hAnsi="Times New Roman" w:cs="Times New Roman"/>
          <w:bCs/>
          <w:i/>
          <w:szCs w:val="20"/>
        </w:rPr>
      </w:pPr>
      <w:r w:rsidRPr="007078D3">
        <w:rPr>
          <w:rFonts w:ascii="Times New Roman" w:hAnsi="Times New Roman" w:cs="Times New Roman"/>
          <w:bCs/>
          <w:i/>
          <w:szCs w:val="20"/>
        </w:rPr>
        <w:t>Ustalenia dotyczą wykonania warstwy ścieralnej z betonowej kostki brukowej dla</w:t>
      </w:r>
      <w:r w:rsidR="00385DEF" w:rsidRPr="007078D3">
        <w:rPr>
          <w:rFonts w:ascii="Times New Roman" w:hAnsi="Times New Roman" w:cs="Times New Roman"/>
          <w:bCs/>
          <w:i/>
          <w:szCs w:val="20"/>
        </w:rPr>
        <w:t xml:space="preserve"> projektowanych</w:t>
      </w:r>
      <w:r w:rsidRPr="007078D3">
        <w:rPr>
          <w:rFonts w:ascii="Times New Roman" w:hAnsi="Times New Roman" w:cs="Times New Roman"/>
          <w:bCs/>
          <w:i/>
          <w:szCs w:val="20"/>
        </w:rPr>
        <w:t xml:space="preserve"> konstrukcji nawierzch</w:t>
      </w:r>
      <w:r w:rsidR="00385DEF" w:rsidRPr="007078D3">
        <w:rPr>
          <w:rFonts w:ascii="Times New Roman" w:hAnsi="Times New Roman" w:cs="Times New Roman"/>
          <w:bCs/>
          <w:i/>
          <w:szCs w:val="20"/>
        </w:rPr>
        <w:t>ni</w:t>
      </w:r>
      <w:r w:rsidRPr="007078D3">
        <w:rPr>
          <w:rFonts w:ascii="Times New Roman" w:hAnsi="Times New Roman" w:cs="Times New Roman"/>
          <w:bCs/>
          <w:i/>
          <w:szCs w:val="20"/>
        </w:rPr>
        <w:t>.</w:t>
      </w:r>
    </w:p>
    <w:p w:rsidR="003C3080" w:rsidRPr="007078D3" w:rsidRDefault="003C3080" w:rsidP="00ED04E8">
      <w:pPr>
        <w:rPr>
          <w:rFonts w:ascii="Times New Roman" w:hAnsi="Times New Roman" w:cs="Times New Roman"/>
          <w:szCs w:val="20"/>
        </w:rPr>
      </w:pP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1.4. Określenia podstawowe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1.4.1. </w:t>
      </w:r>
      <w:r w:rsidRPr="007078D3">
        <w:rPr>
          <w:rFonts w:ascii="Times New Roman" w:hAnsi="Times New Roman" w:cs="Times New Roman"/>
          <w:color w:val="000000"/>
          <w:szCs w:val="20"/>
        </w:rPr>
        <w:t>Betonowa kostka brukowa - prefabrykowany element budowlany, przeznaczony do budowy warstwy ścieralnej nawierzchni, wykonany metodą wibroprasowania z betonu niezbrojonego niebarwionego lub barwionego, jedno- lub dwuwarstwowego, charakteryzujący się kształtem, który umożliwia wzajemne przystawanie elementów.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1.4.2. </w:t>
      </w:r>
      <w:r w:rsidRPr="007078D3">
        <w:rPr>
          <w:rFonts w:ascii="Times New Roman" w:hAnsi="Times New Roman" w:cs="Times New Roman"/>
          <w:color w:val="000000"/>
          <w:szCs w:val="20"/>
        </w:rPr>
        <w:t>Krawężnik - prosty lub łukowy element budowlany oddzielający jezdnię od chodnika, charakteryzujący się stałym lub zmiennym przekrojem poprzecznym i długością nie większą niż 1,0 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1.4.3. </w:t>
      </w:r>
      <w:r w:rsidRPr="007078D3">
        <w:rPr>
          <w:rFonts w:ascii="Times New Roman" w:hAnsi="Times New Roman" w:cs="Times New Roman"/>
          <w:color w:val="000000"/>
          <w:szCs w:val="20"/>
        </w:rPr>
        <w:t>Ściek - umocnione zagłębienie, poniżej krawędzi jezdni, zbierające i odprowadzające wodę.</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1.4.4. </w:t>
      </w:r>
      <w:r w:rsidRPr="007078D3">
        <w:rPr>
          <w:rFonts w:ascii="Times New Roman" w:hAnsi="Times New Roman" w:cs="Times New Roman"/>
          <w:color w:val="000000"/>
          <w:szCs w:val="20"/>
        </w:rPr>
        <w:t>Obrzeże - element budowlany, oddzielający nawierzchnie chodników i ciągów pieszych od terenów nie przeznaczonych  do komunikacji.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1.4.5. </w:t>
      </w:r>
      <w:r w:rsidRPr="007078D3">
        <w:rPr>
          <w:rFonts w:ascii="Times New Roman" w:hAnsi="Times New Roman" w:cs="Times New Roman"/>
          <w:color w:val="000000"/>
          <w:szCs w:val="20"/>
        </w:rPr>
        <w:t>Spoina - odstęp pomiędzy przylegającymi elementami (kostkami) wypełniony określonymi materiałami wypełniającymi.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1.4.6. </w:t>
      </w:r>
      <w:r w:rsidRPr="007078D3">
        <w:rPr>
          <w:rFonts w:ascii="Times New Roman" w:hAnsi="Times New Roman" w:cs="Times New Roman"/>
          <w:color w:val="000000"/>
          <w:szCs w:val="20"/>
        </w:rPr>
        <w:t>Szczelina dylatacyjna - odstęp dzielący duży fragment nawierzchni na sekcje w celu umożliwienia odkształceń temperaturowych, wypełniony określonymi materiałami wypełniającymi.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1.4.7. </w:t>
      </w:r>
      <w:r w:rsidRPr="007078D3">
        <w:rPr>
          <w:rFonts w:ascii="Times New Roman" w:hAnsi="Times New Roman" w:cs="Times New Roman"/>
          <w:color w:val="000000"/>
          <w:szCs w:val="20"/>
        </w:rPr>
        <w:t xml:space="preserve">Pozostałe określenia podstawowe są zgodne z obowiązującymi, odpowiednimi polskimi normami i z definicjami podanymi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1.4.</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1.5. Ogólne wymagania dotyczące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1.5.</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79" w:name="_Toc213224427"/>
      <w:bookmarkStart w:id="1280" w:name="_Toc107903637"/>
      <w:bookmarkStart w:id="1281" w:name="_Toc421686544"/>
      <w:bookmarkEnd w:id="1279"/>
      <w:bookmarkEnd w:id="1280"/>
      <w:r w:rsidRPr="007078D3">
        <w:rPr>
          <w:rFonts w:ascii="Times New Roman" w:hAnsi="Times New Roman"/>
          <w:caps/>
          <w:color w:val="000000"/>
          <w:szCs w:val="20"/>
        </w:rPr>
        <w:t>2. </w:t>
      </w:r>
      <w:bookmarkEnd w:id="1281"/>
      <w:r w:rsidRPr="007078D3">
        <w:rPr>
          <w:rFonts w:ascii="Times New Roman" w:hAnsi="Times New Roman"/>
          <w:caps/>
          <w:color w:val="000000"/>
          <w:szCs w:val="20"/>
        </w:rPr>
        <w:t>MATERIAŁY</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 Ogólne wymagania dotyczące materiałów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materiałów, ich pozyskiwania i składowania,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2.</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2.2. Betonowa kostka brukowa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2.2.1. </w:t>
      </w:r>
      <w:r w:rsidRPr="007078D3">
        <w:rPr>
          <w:rFonts w:ascii="Times New Roman" w:hAnsi="Times New Roman" w:cs="Times New Roman"/>
          <w:color w:val="000000"/>
          <w:szCs w:val="20"/>
        </w:rPr>
        <w:t>Klasyfikacja betonowych kostek brukowych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Betonowa kostka brukowa może mieć następujące cechy charakterystyczne, określone w katalogu producenta: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1.    odmianę:</w:t>
      </w:r>
    </w:p>
    <w:p w:rsidR="0034055A" w:rsidRPr="007078D3" w:rsidRDefault="0034055A" w:rsidP="00ED04E8">
      <w:pPr>
        <w:ind w:left="571" w:hanging="283"/>
        <w:rPr>
          <w:rFonts w:ascii="Times New Roman" w:hAnsi="Times New Roman" w:cs="Times New Roman"/>
          <w:color w:val="000000"/>
          <w:szCs w:val="20"/>
        </w:rPr>
      </w:pPr>
      <w:r w:rsidRPr="007078D3">
        <w:rPr>
          <w:rFonts w:ascii="Times New Roman" w:hAnsi="Times New Roman" w:cs="Times New Roman"/>
          <w:color w:val="000000"/>
          <w:szCs w:val="20"/>
        </w:rPr>
        <w:t>a)    kostka jednowarstwowa (z jednego rodzaju betonu),</w:t>
      </w:r>
    </w:p>
    <w:p w:rsidR="0034055A" w:rsidRPr="007078D3" w:rsidRDefault="0034055A" w:rsidP="00ED04E8">
      <w:pPr>
        <w:ind w:left="571" w:hanging="283"/>
        <w:rPr>
          <w:rFonts w:ascii="Times New Roman" w:hAnsi="Times New Roman" w:cs="Times New Roman"/>
          <w:color w:val="000000"/>
          <w:szCs w:val="20"/>
        </w:rPr>
      </w:pPr>
      <w:r w:rsidRPr="007078D3">
        <w:rPr>
          <w:rFonts w:ascii="Times New Roman" w:hAnsi="Times New Roman" w:cs="Times New Roman"/>
          <w:color w:val="000000"/>
          <w:szCs w:val="20"/>
        </w:rPr>
        <w:t>b)    kostka dwuwarstwowa (z betonu warstwy spodniej konstrukcyjnej i warstwy ścieralnej (górnej) zwykle barwionej grubości min. 4 mm,</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2.    barwę:</w:t>
      </w:r>
    </w:p>
    <w:p w:rsidR="0034055A" w:rsidRPr="007078D3" w:rsidRDefault="0034055A" w:rsidP="00ED04E8">
      <w:pPr>
        <w:ind w:left="571" w:hanging="283"/>
        <w:rPr>
          <w:rFonts w:ascii="Times New Roman" w:hAnsi="Times New Roman" w:cs="Times New Roman"/>
          <w:color w:val="000000"/>
          <w:szCs w:val="20"/>
        </w:rPr>
      </w:pPr>
      <w:r w:rsidRPr="007078D3">
        <w:rPr>
          <w:rFonts w:ascii="Times New Roman" w:hAnsi="Times New Roman" w:cs="Times New Roman"/>
          <w:color w:val="000000"/>
          <w:szCs w:val="20"/>
        </w:rPr>
        <w:t>a)    kostka szara, z betonu niebarwionego,</w:t>
      </w:r>
    </w:p>
    <w:p w:rsidR="0034055A" w:rsidRPr="007078D3" w:rsidRDefault="0034055A" w:rsidP="00ED04E8">
      <w:pPr>
        <w:ind w:left="571" w:hanging="283"/>
        <w:rPr>
          <w:rFonts w:ascii="Times New Roman" w:hAnsi="Times New Roman" w:cs="Times New Roman"/>
          <w:color w:val="000000"/>
          <w:szCs w:val="20"/>
        </w:rPr>
      </w:pPr>
      <w:r w:rsidRPr="007078D3">
        <w:rPr>
          <w:rFonts w:ascii="Times New Roman" w:hAnsi="Times New Roman" w:cs="Times New Roman"/>
          <w:color w:val="000000"/>
          <w:szCs w:val="20"/>
        </w:rPr>
        <w:t>b)    kostka kolorowa, z betonu barwionego,</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3.    wzór (kształt) kostki: zgodny z kształtami określonymi przez producenta (przykłady podano w załączniku 1),</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4.    wymiary, zgodne z wymiarami określonymi przez producenta, w zasadzie:</w:t>
      </w:r>
    </w:p>
    <w:p w:rsidR="0034055A" w:rsidRPr="007078D3" w:rsidRDefault="0034055A" w:rsidP="00ED04E8">
      <w:pPr>
        <w:ind w:left="283" w:firstLine="1"/>
        <w:rPr>
          <w:rFonts w:ascii="Times New Roman" w:hAnsi="Times New Roman" w:cs="Times New Roman"/>
          <w:color w:val="000000"/>
          <w:szCs w:val="20"/>
        </w:rPr>
      </w:pPr>
      <w:r w:rsidRPr="007078D3">
        <w:rPr>
          <w:rFonts w:ascii="Times New Roman" w:hAnsi="Times New Roman" w:cs="Times New Roman"/>
          <w:color w:val="000000"/>
          <w:szCs w:val="20"/>
        </w:rPr>
        <w:t>a)    długość: od 140 mm do 280 mm,</w:t>
      </w:r>
    </w:p>
    <w:p w:rsidR="0034055A" w:rsidRPr="007078D3" w:rsidRDefault="0034055A" w:rsidP="00ED04E8">
      <w:pPr>
        <w:ind w:left="283" w:firstLine="1"/>
        <w:rPr>
          <w:rFonts w:ascii="Times New Roman" w:hAnsi="Times New Roman" w:cs="Times New Roman"/>
          <w:color w:val="000000"/>
          <w:szCs w:val="20"/>
        </w:rPr>
      </w:pPr>
      <w:r w:rsidRPr="007078D3">
        <w:rPr>
          <w:rFonts w:ascii="Times New Roman" w:hAnsi="Times New Roman" w:cs="Times New Roman"/>
          <w:color w:val="000000"/>
          <w:szCs w:val="20"/>
        </w:rPr>
        <w:t>b)    szerokość: od 0,5 do 1,0 wymiaru długości, lecz nie mniej niż 100 mm,</w:t>
      </w:r>
    </w:p>
    <w:p w:rsidR="0034055A" w:rsidRPr="007078D3" w:rsidRDefault="0034055A" w:rsidP="00ED04E8">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c)     grubość: od 40 mm do 140 mm, przy czym zalecanymi grubościami są: 60 mm,  80 mm i 100 mm (zalecane grubości kostek podano w załączniku 2).</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Pożądane jest, aby wymiary kostek były dostosowane do sposobu układania i siatki spoin oraz umożliwiały wykonanie warstwy o szerokości 1,0 m lub 1,5 m bez konieczności przecinania elementów w trakcie ich wbudowywania w nawierzchnię.</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Kostki mogą być produkowane z wypustkami dystansowymi na powierzchniach bocznych oraz z ukosowanymi krawędziami górnymi.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lastRenderedPageBreak/>
        <w:t>2.2.2. </w:t>
      </w:r>
      <w:r w:rsidRPr="007078D3">
        <w:rPr>
          <w:rFonts w:ascii="Times New Roman" w:hAnsi="Times New Roman" w:cs="Times New Roman"/>
          <w:color w:val="000000"/>
          <w:szCs w:val="20"/>
        </w:rPr>
        <w:t>Wymagania techniczne stawiane betonowym kostkom brukowym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Wymagania techniczne stawiane betonowym kostkom brukowym stosowanym na nawierzchniach dróg, ulic, chodników itp. określa PN-EN 1338 [2] w sposób przedstawiony w tablicy 1.</w:t>
      </w:r>
    </w:p>
    <w:p w:rsidR="0034055A" w:rsidRPr="007078D3" w:rsidRDefault="0034055A" w:rsidP="00ED04E8">
      <w:pPr>
        <w:ind w:left="993" w:hanging="993"/>
        <w:rPr>
          <w:rFonts w:ascii="Times New Roman" w:hAnsi="Times New Roman" w:cs="Times New Roman"/>
          <w:color w:val="000000"/>
          <w:szCs w:val="20"/>
        </w:rPr>
      </w:pPr>
      <w:r w:rsidRPr="007078D3">
        <w:rPr>
          <w:rFonts w:ascii="Times New Roman" w:hAnsi="Times New Roman" w:cs="Times New Roman"/>
          <w:color w:val="000000"/>
          <w:szCs w:val="20"/>
        </w:rPr>
        <w:t>Tablica 1.    Wymagania wobec betonowej kostki brukowej, ustalone w PN-EN 1338 [2] do stosowania na zewnętrznych nawierzchniach, mających kontakt z solą odladzającą w warunkach mrozu           </w:t>
      </w:r>
    </w:p>
    <w:tbl>
      <w:tblPr>
        <w:tblW w:w="9382" w:type="dxa"/>
        <w:tblInd w:w="-34" w:type="dxa"/>
        <w:shd w:val="clear" w:color="auto" w:fill="DDDDDD"/>
        <w:tblCellMar>
          <w:left w:w="0" w:type="dxa"/>
          <w:right w:w="0" w:type="dxa"/>
        </w:tblCellMar>
        <w:tblLook w:val="04A0"/>
      </w:tblPr>
      <w:tblGrid>
        <w:gridCol w:w="623"/>
        <w:gridCol w:w="3372"/>
        <w:gridCol w:w="1047"/>
        <w:gridCol w:w="2072"/>
        <w:gridCol w:w="567"/>
        <w:gridCol w:w="1701"/>
      </w:tblGrid>
      <w:tr w:rsidR="0034055A" w:rsidRPr="00EF535A" w:rsidTr="0034055A">
        <w:tc>
          <w:tcPr>
            <w:tcW w:w="623" w:type="dxa"/>
            <w:tcBorders>
              <w:top w:val="single" w:sz="8" w:space="0" w:color="auto"/>
              <w:left w:val="single" w:sz="8" w:space="0" w:color="auto"/>
              <w:bottom w:val="double" w:sz="4"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3372" w:type="dxa"/>
            <w:tcBorders>
              <w:top w:val="single" w:sz="8" w:space="0" w:color="auto"/>
              <w:left w:val="nil"/>
              <w:bottom w:val="double" w:sz="4"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Cecha</w:t>
            </w:r>
          </w:p>
        </w:tc>
        <w:tc>
          <w:tcPr>
            <w:tcW w:w="1047" w:type="dxa"/>
            <w:tcBorders>
              <w:top w:val="single" w:sz="8" w:space="0" w:color="auto"/>
              <w:left w:val="nil"/>
              <w:bottom w:val="double" w:sz="4"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Załącznik normy</w:t>
            </w:r>
          </w:p>
        </w:tc>
        <w:tc>
          <w:tcPr>
            <w:tcW w:w="4340" w:type="dxa"/>
            <w:gridSpan w:val="3"/>
            <w:tcBorders>
              <w:top w:val="single" w:sz="8" w:space="0" w:color="auto"/>
              <w:left w:val="nil"/>
              <w:bottom w:val="double" w:sz="4"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Wymaganie</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3372" w:type="dxa"/>
            <w:tcBorders>
              <w:top w:val="nil"/>
              <w:left w:val="nil"/>
              <w:bottom w:val="single" w:sz="8" w:space="0" w:color="auto"/>
              <w:right w:val="nil"/>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Kształt i wymiary</w:t>
            </w:r>
          </w:p>
        </w:tc>
        <w:tc>
          <w:tcPr>
            <w:tcW w:w="1047" w:type="dxa"/>
            <w:tcBorders>
              <w:top w:val="nil"/>
              <w:left w:val="nil"/>
              <w:bottom w:val="single" w:sz="8" w:space="0" w:color="auto"/>
              <w:right w:val="nil"/>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tc>
        <w:tc>
          <w:tcPr>
            <w:tcW w:w="4340" w:type="dxa"/>
            <w:gridSpan w:val="3"/>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1.1</w:t>
            </w:r>
          </w:p>
        </w:tc>
        <w:tc>
          <w:tcPr>
            <w:tcW w:w="33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Dopuszczalne odchyłki w mm od zadeklarowanych wymiarów kostki,</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grubości                            &lt; 100 mm</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 100 mm</w:t>
            </w:r>
          </w:p>
        </w:tc>
        <w:tc>
          <w:tcPr>
            <w:tcW w:w="1047"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C</w:t>
            </w:r>
          </w:p>
        </w:tc>
        <w:tc>
          <w:tcPr>
            <w:tcW w:w="2639" w:type="dxa"/>
            <w:gridSpan w:val="2"/>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Długość   szerokość   grubość</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2            ± 2            ± 3</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3            ± 3            ± 4</w:t>
            </w:r>
          </w:p>
        </w:tc>
        <w:tc>
          <w:tcPr>
            <w:tcW w:w="1701"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Różnica pomię-dzy dwoma po-miarami gru-bości, tej samej kostki, powinna być ≤ 3 mm</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1.2</w:t>
            </w:r>
          </w:p>
        </w:tc>
        <w:tc>
          <w:tcPr>
            <w:tcW w:w="33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Odchyłki płaskości i pofalowania (jeśli maksymalne wymiary kostki           &gt; 300 mm), przy długości pomiarowej</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300 mm</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400 mm</w:t>
            </w:r>
          </w:p>
        </w:tc>
        <w:tc>
          <w:tcPr>
            <w:tcW w:w="1047"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C</w:t>
            </w:r>
          </w:p>
        </w:tc>
        <w:tc>
          <w:tcPr>
            <w:tcW w:w="4340" w:type="dxa"/>
            <w:gridSpan w:val="3"/>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Maksymalna (w mm)</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wypukłość                      wklęsłość</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1,5                                    1,0</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2,0                                    1,5</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8759" w:type="dxa"/>
            <w:gridSpan w:val="5"/>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Właściwości fizyczne i mechaniczne</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2.1</w:t>
            </w:r>
          </w:p>
        </w:tc>
        <w:tc>
          <w:tcPr>
            <w:tcW w:w="33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Odporność na zamrażanie/rozmraża-nie z udziałem soli odladzających (wg klasy 3, zał. D)</w:t>
            </w:r>
          </w:p>
        </w:tc>
        <w:tc>
          <w:tcPr>
            <w:tcW w:w="1047"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D</w:t>
            </w:r>
          </w:p>
        </w:tc>
        <w:tc>
          <w:tcPr>
            <w:tcW w:w="4340" w:type="dxa"/>
            <w:gridSpan w:val="3"/>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Ubytek masy po badaniu: wartość średnia ≤ 1,0 kg/m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przy czym każdy pojedynczy wynik &lt; 1,5 kg/m</w:t>
            </w:r>
            <w:r w:rsidRPr="00EF535A">
              <w:rPr>
                <w:rFonts w:ascii="Times New Roman" w:hAnsi="Times New Roman" w:cs="Times New Roman"/>
                <w:sz w:val="18"/>
                <w:szCs w:val="18"/>
                <w:vertAlign w:val="superscript"/>
              </w:rPr>
              <w:t>2</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2.2</w:t>
            </w:r>
          </w:p>
        </w:tc>
        <w:tc>
          <w:tcPr>
            <w:tcW w:w="33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Wytrzymałość na rozciąganie przy rozłupywaniu</w:t>
            </w:r>
          </w:p>
        </w:tc>
        <w:tc>
          <w:tcPr>
            <w:tcW w:w="1047"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F</w:t>
            </w:r>
          </w:p>
        </w:tc>
        <w:tc>
          <w:tcPr>
            <w:tcW w:w="4340" w:type="dxa"/>
            <w:gridSpan w:val="3"/>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Wytrzymałość charakterystyczna T ≥ 3,6 MPa. Każdy pojedynczy wynik ≥ 2,9 MPa i nie powinien wykazywać obciążenia niszczącego mniejszego niż 250 N/mm długości rozłupania</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2.3</w:t>
            </w:r>
          </w:p>
        </w:tc>
        <w:tc>
          <w:tcPr>
            <w:tcW w:w="33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Trwałość   (ze względu na wytrzyma-łość)</w:t>
            </w:r>
          </w:p>
        </w:tc>
        <w:tc>
          <w:tcPr>
            <w:tcW w:w="1047"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F</w:t>
            </w:r>
          </w:p>
        </w:tc>
        <w:tc>
          <w:tcPr>
            <w:tcW w:w="4340" w:type="dxa"/>
            <w:gridSpan w:val="3"/>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Kostki mają zadawalającą trwałość (wytrzymałość) jeśli spełnione są wymagania pktu 2.2 oraz istnieje normalna konserwacja</w:t>
            </w:r>
          </w:p>
        </w:tc>
      </w:tr>
      <w:tr w:rsidR="0034055A" w:rsidRPr="00EF535A" w:rsidTr="0034055A">
        <w:tc>
          <w:tcPr>
            <w:tcW w:w="623" w:type="dxa"/>
            <w:tcBorders>
              <w:top w:val="nil"/>
              <w:left w:val="single" w:sz="8" w:space="0" w:color="auto"/>
              <w:bottom w:val="nil"/>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2.4</w:t>
            </w:r>
          </w:p>
        </w:tc>
        <w:tc>
          <w:tcPr>
            <w:tcW w:w="3372" w:type="dxa"/>
            <w:tcBorders>
              <w:top w:val="nil"/>
              <w:left w:val="nil"/>
              <w:bottom w:val="nil"/>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Odporność na ścieranie (wg klasy 3</w:t>
            </w:r>
          </w:p>
        </w:tc>
        <w:tc>
          <w:tcPr>
            <w:tcW w:w="1047" w:type="dxa"/>
            <w:tcBorders>
              <w:top w:val="nil"/>
              <w:left w:val="nil"/>
              <w:bottom w:val="nil"/>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G i H</w:t>
            </w:r>
          </w:p>
        </w:tc>
        <w:tc>
          <w:tcPr>
            <w:tcW w:w="4340" w:type="dxa"/>
            <w:gridSpan w:val="3"/>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Pomiar wykonany na tarczy</w:t>
            </w:r>
          </w:p>
        </w:tc>
      </w:tr>
      <w:tr w:rsidR="0034055A" w:rsidRPr="00EF535A" w:rsidTr="0034055A">
        <w:tc>
          <w:tcPr>
            <w:tcW w:w="623" w:type="dxa"/>
            <w:tcBorders>
              <w:top w:val="nil"/>
              <w:left w:val="single" w:sz="8" w:space="0" w:color="auto"/>
              <w:bottom w:val="nil"/>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372" w:type="dxa"/>
            <w:tcBorders>
              <w:top w:val="nil"/>
              <w:left w:val="nil"/>
              <w:bottom w:val="nil"/>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oznaczenia H normy)</w:t>
            </w:r>
          </w:p>
        </w:tc>
        <w:tc>
          <w:tcPr>
            <w:tcW w:w="1047" w:type="dxa"/>
            <w:tcBorders>
              <w:top w:val="nil"/>
              <w:left w:val="nil"/>
              <w:bottom w:val="nil"/>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tc>
        <w:tc>
          <w:tcPr>
            <w:tcW w:w="20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szerokiej ściernej,              wg zał. G normy – badanie podstawowe</w:t>
            </w:r>
          </w:p>
        </w:tc>
        <w:tc>
          <w:tcPr>
            <w:tcW w:w="2268" w:type="dxa"/>
            <w:gridSpan w:val="2"/>
            <w:tcBorders>
              <w:top w:val="single" w:sz="8" w:space="0" w:color="auto"/>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Böhmego,</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wg zał. H mormy – badanie alternatywne</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3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tc>
        <w:tc>
          <w:tcPr>
            <w:tcW w:w="1047"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tc>
        <w:tc>
          <w:tcPr>
            <w:tcW w:w="20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23 mm</w:t>
            </w:r>
          </w:p>
        </w:tc>
        <w:tc>
          <w:tcPr>
            <w:tcW w:w="2268" w:type="dxa"/>
            <w:gridSpan w:val="2"/>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≤20 000mm</w:t>
            </w:r>
            <w:r w:rsidRPr="00EF535A">
              <w:rPr>
                <w:rFonts w:ascii="Times New Roman" w:hAnsi="Times New Roman" w:cs="Times New Roman"/>
                <w:sz w:val="18"/>
                <w:szCs w:val="18"/>
                <w:vertAlign w:val="superscript"/>
              </w:rPr>
              <w:t>3</w:t>
            </w:r>
            <w:r w:rsidRPr="00EF535A">
              <w:rPr>
                <w:rFonts w:ascii="Times New Roman" w:hAnsi="Times New Roman" w:cs="Times New Roman"/>
                <w:sz w:val="18"/>
                <w:szCs w:val="18"/>
              </w:rPr>
              <w:t>/5000 mm</w:t>
            </w:r>
            <w:r w:rsidRPr="00EF535A">
              <w:rPr>
                <w:rFonts w:ascii="Times New Roman" w:hAnsi="Times New Roman" w:cs="Times New Roman"/>
                <w:sz w:val="18"/>
                <w:szCs w:val="18"/>
                <w:vertAlign w:val="superscript"/>
              </w:rPr>
              <w:t>2</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2.5</w:t>
            </w:r>
          </w:p>
        </w:tc>
        <w:tc>
          <w:tcPr>
            <w:tcW w:w="33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Odporność na poślizg/poślizgnięcie</w:t>
            </w:r>
          </w:p>
        </w:tc>
        <w:tc>
          <w:tcPr>
            <w:tcW w:w="1047"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I</w:t>
            </w:r>
          </w:p>
        </w:tc>
        <w:tc>
          <w:tcPr>
            <w:tcW w:w="4340" w:type="dxa"/>
            <w:gridSpan w:val="3"/>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ind w:left="176" w:hanging="176"/>
              <w:rPr>
                <w:rFonts w:ascii="Times New Roman" w:hAnsi="Times New Roman" w:cs="Times New Roman"/>
                <w:sz w:val="18"/>
                <w:szCs w:val="18"/>
              </w:rPr>
            </w:pPr>
            <w:r w:rsidRPr="00EF535A">
              <w:rPr>
                <w:rFonts w:ascii="Times New Roman" w:hAnsi="Times New Roman" w:cs="Times New Roman"/>
                <w:sz w:val="18"/>
                <w:szCs w:val="18"/>
              </w:rPr>
              <w:t>a) jeśli górna powierzchnia kostki nie była szlifo-wana lub polerowana – zadawalająca odporność,</w:t>
            </w:r>
          </w:p>
          <w:p w:rsidR="0034055A" w:rsidRPr="00EF535A" w:rsidRDefault="0034055A" w:rsidP="00ED04E8">
            <w:pPr>
              <w:ind w:left="176" w:hanging="176"/>
              <w:rPr>
                <w:rFonts w:ascii="Times New Roman" w:hAnsi="Times New Roman" w:cs="Times New Roman"/>
                <w:sz w:val="18"/>
                <w:szCs w:val="18"/>
              </w:rPr>
            </w:pPr>
            <w:r w:rsidRPr="00EF535A">
              <w:rPr>
                <w:rFonts w:ascii="Times New Roman" w:hAnsi="Times New Roman" w:cs="Times New Roman"/>
                <w:sz w:val="18"/>
                <w:szCs w:val="18"/>
              </w:rPr>
              <w:t>b) jeśli wyjątkowo wymaga się podania wartości odporności na poślizg/poślizgnięcie – należy zadeklarować minimalną jej wartość pomierzoną wg zał. I normy (wahadłowym przyrządem do badania tarcia)</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8759" w:type="dxa"/>
            <w:gridSpan w:val="5"/>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Aspekty wizualne</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3.1</w:t>
            </w:r>
          </w:p>
        </w:tc>
        <w:tc>
          <w:tcPr>
            <w:tcW w:w="33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Wygląd</w:t>
            </w:r>
          </w:p>
        </w:tc>
        <w:tc>
          <w:tcPr>
            <w:tcW w:w="1047"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J</w:t>
            </w:r>
          </w:p>
        </w:tc>
        <w:tc>
          <w:tcPr>
            <w:tcW w:w="4340" w:type="dxa"/>
            <w:gridSpan w:val="3"/>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ind w:left="176" w:hanging="176"/>
              <w:rPr>
                <w:rFonts w:ascii="Times New Roman" w:hAnsi="Times New Roman" w:cs="Times New Roman"/>
                <w:sz w:val="18"/>
                <w:szCs w:val="18"/>
              </w:rPr>
            </w:pPr>
            <w:r w:rsidRPr="00EF535A">
              <w:rPr>
                <w:rFonts w:ascii="Times New Roman" w:hAnsi="Times New Roman" w:cs="Times New Roman"/>
                <w:sz w:val="18"/>
                <w:szCs w:val="18"/>
              </w:rPr>
              <w:t>a) górna powierzchnia kostki nie powinna mieć rys i odprysków,</w:t>
            </w:r>
          </w:p>
          <w:p w:rsidR="0034055A" w:rsidRPr="00EF535A" w:rsidRDefault="0034055A" w:rsidP="00ED04E8">
            <w:pPr>
              <w:ind w:left="176" w:hanging="176"/>
              <w:rPr>
                <w:rFonts w:ascii="Times New Roman" w:hAnsi="Times New Roman" w:cs="Times New Roman"/>
                <w:sz w:val="18"/>
                <w:szCs w:val="18"/>
              </w:rPr>
            </w:pPr>
            <w:r w:rsidRPr="00EF535A">
              <w:rPr>
                <w:rFonts w:ascii="Times New Roman" w:hAnsi="Times New Roman" w:cs="Times New Roman"/>
                <w:sz w:val="18"/>
                <w:szCs w:val="18"/>
              </w:rPr>
              <w:t>b) nie dopuszcza się rozwarstwień w kostkach dwuwarstwowych,</w:t>
            </w:r>
          </w:p>
          <w:p w:rsidR="0034055A" w:rsidRPr="00EF535A" w:rsidRDefault="0034055A" w:rsidP="00ED04E8">
            <w:pPr>
              <w:ind w:left="176" w:hanging="176"/>
              <w:rPr>
                <w:rFonts w:ascii="Times New Roman" w:hAnsi="Times New Roman" w:cs="Times New Roman"/>
                <w:sz w:val="18"/>
                <w:szCs w:val="18"/>
              </w:rPr>
            </w:pPr>
            <w:r w:rsidRPr="00EF535A">
              <w:rPr>
                <w:rFonts w:ascii="Times New Roman" w:hAnsi="Times New Roman" w:cs="Times New Roman"/>
                <w:sz w:val="18"/>
                <w:szCs w:val="18"/>
              </w:rPr>
              <w:t>c) ewentualne wykwity nie są uważane za istotne</w:t>
            </w:r>
          </w:p>
        </w:tc>
      </w:tr>
      <w:tr w:rsidR="0034055A" w:rsidRPr="00EF535A" w:rsidTr="0034055A">
        <w:tc>
          <w:tcPr>
            <w:tcW w:w="623"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3.2</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3.3</w:t>
            </w:r>
          </w:p>
        </w:tc>
        <w:tc>
          <w:tcPr>
            <w:tcW w:w="3372"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Tekstura</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Zabarwienie (barwiona może być warstwa ścieralna lub cały element)</w:t>
            </w:r>
          </w:p>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tc>
        <w:tc>
          <w:tcPr>
            <w:tcW w:w="1047"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J</w:t>
            </w:r>
          </w:p>
        </w:tc>
        <w:tc>
          <w:tcPr>
            <w:tcW w:w="4340" w:type="dxa"/>
            <w:gridSpan w:val="3"/>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ind w:left="176" w:hanging="176"/>
              <w:rPr>
                <w:rFonts w:ascii="Times New Roman" w:hAnsi="Times New Roman" w:cs="Times New Roman"/>
                <w:sz w:val="18"/>
                <w:szCs w:val="18"/>
              </w:rPr>
            </w:pPr>
            <w:r w:rsidRPr="00EF535A">
              <w:rPr>
                <w:rFonts w:ascii="Times New Roman" w:hAnsi="Times New Roman" w:cs="Times New Roman"/>
                <w:sz w:val="18"/>
                <w:szCs w:val="18"/>
              </w:rPr>
              <w:t>a) kostki z powierzchnią o specjalnej teksturze – producent powinien opisać rodzaj tekstury,</w:t>
            </w:r>
          </w:p>
          <w:p w:rsidR="0034055A" w:rsidRPr="00EF535A" w:rsidRDefault="0034055A" w:rsidP="00ED04E8">
            <w:pPr>
              <w:ind w:left="176" w:hanging="176"/>
              <w:rPr>
                <w:rFonts w:ascii="Times New Roman" w:hAnsi="Times New Roman" w:cs="Times New Roman"/>
                <w:sz w:val="18"/>
                <w:szCs w:val="18"/>
              </w:rPr>
            </w:pPr>
            <w:r w:rsidRPr="00EF535A">
              <w:rPr>
                <w:rFonts w:ascii="Times New Roman" w:hAnsi="Times New Roman" w:cs="Times New Roman"/>
                <w:sz w:val="18"/>
                <w:szCs w:val="18"/>
              </w:rPr>
              <w:t>b) tekstura lub zabarwienie kostki powinny być porównane z próbką producenta, zatwierdzoną przez odbiorcę,</w:t>
            </w:r>
          </w:p>
          <w:p w:rsidR="0034055A" w:rsidRPr="00EF535A" w:rsidRDefault="0034055A" w:rsidP="00ED04E8">
            <w:pPr>
              <w:ind w:left="176" w:hanging="176"/>
              <w:rPr>
                <w:rFonts w:ascii="Times New Roman" w:hAnsi="Times New Roman" w:cs="Times New Roman"/>
                <w:sz w:val="18"/>
                <w:szCs w:val="18"/>
              </w:rPr>
            </w:pPr>
            <w:r w:rsidRPr="00EF535A">
              <w:rPr>
                <w:rFonts w:ascii="Times New Roman" w:hAnsi="Times New Roman" w:cs="Times New Roman"/>
                <w:sz w:val="18"/>
                <w:szCs w:val="18"/>
              </w:rPr>
              <w:t>c) ewentualne różnice w jednolitości tekstury lub zabarwienia, spowodowane nieuniknionymi zmianami we właściwościach surowców i zmianach warunków twardnienia nie są uważane za istotne</w:t>
            </w:r>
          </w:p>
        </w:tc>
      </w:tr>
      <w:tr w:rsidR="0034055A" w:rsidRPr="00EF535A" w:rsidTr="0034055A">
        <w:tc>
          <w:tcPr>
            <w:tcW w:w="630" w:type="dxa"/>
            <w:tcBorders>
              <w:top w:val="nil"/>
              <w:left w:val="nil"/>
              <w:bottom w:val="nil"/>
              <w:right w:val="nil"/>
            </w:tcBorders>
            <w:shd w:val="clear" w:color="auto" w:fill="DDDDDD"/>
            <w:vAlign w:val="center"/>
            <w:hideMark/>
          </w:tcPr>
          <w:p w:rsidR="0034055A" w:rsidRPr="00EF535A" w:rsidRDefault="0034055A" w:rsidP="00ED04E8">
            <w:pPr>
              <w:rPr>
                <w:rFonts w:ascii="Times New Roman" w:hAnsi="Times New Roman" w:cs="Times New Roman"/>
                <w:sz w:val="18"/>
                <w:szCs w:val="18"/>
              </w:rPr>
            </w:pPr>
          </w:p>
        </w:tc>
        <w:tc>
          <w:tcPr>
            <w:tcW w:w="3375" w:type="dxa"/>
            <w:tcBorders>
              <w:top w:val="nil"/>
              <w:left w:val="nil"/>
              <w:bottom w:val="nil"/>
              <w:right w:val="nil"/>
            </w:tcBorders>
            <w:shd w:val="clear" w:color="auto" w:fill="DDDDDD"/>
            <w:vAlign w:val="center"/>
            <w:hideMark/>
          </w:tcPr>
          <w:p w:rsidR="0034055A" w:rsidRPr="00EF535A" w:rsidRDefault="0034055A" w:rsidP="00ED04E8">
            <w:pPr>
              <w:rPr>
                <w:rFonts w:ascii="Times New Roman" w:hAnsi="Times New Roman" w:cs="Times New Roman"/>
                <w:sz w:val="18"/>
                <w:szCs w:val="18"/>
              </w:rPr>
            </w:pPr>
          </w:p>
        </w:tc>
        <w:tc>
          <w:tcPr>
            <w:tcW w:w="1050" w:type="dxa"/>
            <w:tcBorders>
              <w:top w:val="nil"/>
              <w:left w:val="nil"/>
              <w:bottom w:val="nil"/>
              <w:right w:val="nil"/>
            </w:tcBorders>
            <w:shd w:val="clear" w:color="auto" w:fill="DDDDDD"/>
            <w:vAlign w:val="center"/>
            <w:hideMark/>
          </w:tcPr>
          <w:p w:rsidR="0034055A" w:rsidRPr="00EF535A" w:rsidRDefault="0034055A" w:rsidP="00ED04E8">
            <w:pPr>
              <w:rPr>
                <w:rFonts w:ascii="Times New Roman" w:hAnsi="Times New Roman" w:cs="Times New Roman"/>
                <w:sz w:val="18"/>
                <w:szCs w:val="18"/>
              </w:rPr>
            </w:pPr>
          </w:p>
        </w:tc>
        <w:tc>
          <w:tcPr>
            <w:tcW w:w="2070" w:type="dxa"/>
            <w:tcBorders>
              <w:top w:val="nil"/>
              <w:left w:val="nil"/>
              <w:bottom w:val="nil"/>
              <w:right w:val="nil"/>
            </w:tcBorders>
            <w:shd w:val="clear" w:color="auto" w:fill="DDDDDD"/>
            <w:vAlign w:val="center"/>
            <w:hideMark/>
          </w:tcPr>
          <w:p w:rsidR="0034055A" w:rsidRPr="00EF535A" w:rsidRDefault="0034055A" w:rsidP="00ED04E8">
            <w:pPr>
              <w:rPr>
                <w:rFonts w:ascii="Times New Roman" w:hAnsi="Times New Roman" w:cs="Times New Roman"/>
                <w:sz w:val="18"/>
                <w:szCs w:val="18"/>
              </w:rPr>
            </w:pPr>
          </w:p>
        </w:tc>
        <w:tc>
          <w:tcPr>
            <w:tcW w:w="570" w:type="dxa"/>
            <w:tcBorders>
              <w:top w:val="nil"/>
              <w:left w:val="nil"/>
              <w:bottom w:val="nil"/>
              <w:right w:val="nil"/>
            </w:tcBorders>
            <w:shd w:val="clear" w:color="auto" w:fill="DDDDDD"/>
            <w:vAlign w:val="center"/>
            <w:hideMark/>
          </w:tcPr>
          <w:p w:rsidR="0034055A" w:rsidRPr="00EF535A" w:rsidRDefault="0034055A" w:rsidP="00ED04E8">
            <w:pPr>
              <w:rPr>
                <w:rFonts w:ascii="Times New Roman" w:hAnsi="Times New Roman" w:cs="Times New Roman"/>
                <w:sz w:val="18"/>
                <w:szCs w:val="18"/>
              </w:rPr>
            </w:pPr>
          </w:p>
        </w:tc>
        <w:tc>
          <w:tcPr>
            <w:tcW w:w="1695" w:type="dxa"/>
            <w:tcBorders>
              <w:top w:val="nil"/>
              <w:left w:val="nil"/>
              <w:bottom w:val="nil"/>
              <w:right w:val="nil"/>
            </w:tcBorders>
            <w:shd w:val="clear" w:color="auto" w:fill="DDDDDD"/>
            <w:vAlign w:val="center"/>
            <w:hideMark/>
          </w:tcPr>
          <w:p w:rsidR="0034055A" w:rsidRPr="00EF535A" w:rsidRDefault="0034055A" w:rsidP="00ED04E8">
            <w:pPr>
              <w:rPr>
                <w:rFonts w:ascii="Times New Roman" w:hAnsi="Times New Roman" w:cs="Times New Roman"/>
                <w:sz w:val="18"/>
                <w:szCs w:val="18"/>
              </w:rPr>
            </w:pPr>
          </w:p>
        </w:tc>
      </w:tr>
    </w:tbl>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 przypadku zastosowań kostki na powierzchniach innych niż przewidziano w tablicy 1 (np. na nawierzchniach wewnętrznych nie narażonych na kontakt z solą odladzającą), wymagania wobec kostki należy odpowiednio dostosować do ustaleń PN-EN-1338 [2].</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Kostki kolorowe powinny być barwione substancjami odpornymi na działanie czynników atmosferycznych, światła (w tym promieniowania UV) i silnych alkaliów (m.in. cementu, który przy wypełnieniu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Uwaga: Naloty wapienne (wykwity w postaci białych plam) mogą pojawić się na powierzchni kostek w początkowym okresie eksploatacji. Powstają one w wyniku naturalnych procesów fizykochemicznych występujących w betonie i zanikają w trakcie użytkowania w okresie do 2-3 lat.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2.2.3. </w:t>
      </w:r>
      <w:r w:rsidRPr="007078D3">
        <w:rPr>
          <w:rFonts w:ascii="Times New Roman" w:hAnsi="Times New Roman" w:cs="Times New Roman"/>
          <w:color w:val="000000"/>
          <w:szCs w:val="20"/>
        </w:rPr>
        <w:t>Składowanie kostek</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Kostkę zaleca się pakować na paletach. Palety z kostką mogą być składowane na otwartej przestrzeni, przy czym podłoże powinno być wyrównane i odwodnione.</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b w:val="0"/>
          <w:bCs w:val="0"/>
          <w:color w:val="000000"/>
          <w:szCs w:val="20"/>
        </w:rPr>
        <w:t> </w:t>
      </w:r>
      <w:r w:rsidRPr="007078D3">
        <w:rPr>
          <w:rFonts w:ascii="Times New Roman" w:hAnsi="Times New Roman"/>
          <w:color w:val="000000"/>
          <w:szCs w:val="20"/>
        </w:rPr>
        <w:t>2.3. Materiały na podsypkę i do wypełnienia spoin oraz szczelin w nawierzchni</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Jeśli dokumentacja projektowa lub ST nie ustala inaczej, to należy stosować następujące materiały:</w:t>
      </w:r>
    </w:p>
    <w:p w:rsidR="0034055A" w:rsidRPr="007078D3" w:rsidRDefault="0034055A" w:rsidP="00ED04E8">
      <w:pPr>
        <w:pStyle w:val="tekstost"/>
        <w:ind w:left="283" w:hanging="283"/>
        <w:rPr>
          <w:rFonts w:ascii="Times New Roman" w:hAnsi="Times New Roman"/>
          <w:color w:val="000000"/>
          <w:szCs w:val="20"/>
        </w:rPr>
      </w:pPr>
      <w:r w:rsidRPr="007078D3">
        <w:rPr>
          <w:rFonts w:ascii="Times New Roman" w:hAnsi="Times New Roman"/>
          <w:color w:val="000000"/>
          <w:szCs w:val="20"/>
        </w:rPr>
        <w:t>a)    na podsypkę piaskową pod nawierzchnię</w:t>
      </w:r>
    </w:p>
    <w:p w:rsidR="0034055A" w:rsidRPr="007078D3" w:rsidRDefault="0034055A" w:rsidP="00ED04E8">
      <w:pPr>
        <w:pStyle w:val="tekstost"/>
        <w:ind w:left="571" w:hanging="283"/>
        <w:rPr>
          <w:rFonts w:ascii="Times New Roman" w:hAnsi="Times New Roman"/>
          <w:color w:val="000000"/>
          <w:szCs w:val="20"/>
        </w:rPr>
      </w:pPr>
      <w:r w:rsidRPr="007078D3">
        <w:rPr>
          <w:rFonts w:ascii="Times New Roman" w:hAnsi="Times New Roman"/>
          <w:color w:val="000000"/>
          <w:szCs w:val="20"/>
        </w:rPr>
        <w:t>-      piasek naturalny wg PN-EN 13242:2004 [3],</w:t>
      </w:r>
    </w:p>
    <w:p w:rsidR="0034055A" w:rsidRPr="007078D3" w:rsidRDefault="0034055A" w:rsidP="00ED04E8">
      <w:pPr>
        <w:pStyle w:val="tekstost"/>
        <w:ind w:left="571" w:hanging="283"/>
        <w:rPr>
          <w:rFonts w:ascii="Times New Roman" w:hAnsi="Times New Roman"/>
          <w:color w:val="000000"/>
          <w:szCs w:val="20"/>
        </w:rPr>
      </w:pPr>
      <w:r w:rsidRPr="007078D3">
        <w:rPr>
          <w:rFonts w:ascii="Times New Roman" w:hAnsi="Times New Roman"/>
          <w:color w:val="000000"/>
          <w:szCs w:val="20"/>
        </w:rPr>
        <w:t>-      piasek łamany (0,075¸2) mm wg PN-EN 13242:2004 [3],</w:t>
      </w:r>
    </w:p>
    <w:p w:rsidR="0034055A" w:rsidRPr="007078D3" w:rsidRDefault="0034055A" w:rsidP="00ED04E8">
      <w:pPr>
        <w:pStyle w:val="tekstost"/>
        <w:ind w:left="283" w:hanging="283"/>
        <w:rPr>
          <w:rFonts w:ascii="Times New Roman" w:hAnsi="Times New Roman"/>
          <w:color w:val="000000"/>
          <w:szCs w:val="20"/>
        </w:rPr>
      </w:pPr>
      <w:r w:rsidRPr="007078D3">
        <w:rPr>
          <w:rFonts w:ascii="Times New Roman" w:hAnsi="Times New Roman"/>
          <w:color w:val="000000"/>
          <w:szCs w:val="20"/>
        </w:rPr>
        <w:t>b)    na podsypkę cementowo-piaskową pod nawierzchnię</w:t>
      </w:r>
    </w:p>
    <w:p w:rsidR="0034055A" w:rsidRPr="007078D3" w:rsidRDefault="0034055A" w:rsidP="00ED04E8">
      <w:pPr>
        <w:pStyle w:val="tekstost"/>
        <w:ind w:left="571" w:hanging="283"/>
        <w:rPr>
          <w:rFonts w:ascii="Times New Roman" w:hAnsi="Times New Roman"/>
          <w:color w:val="000000"/>
          <w:szCs w:val="20"/>
        </w:rPr>
      </w:pPr>
      <w:r w:rsidRPr="007078D3">
        <w:rPr>
          <w:rFonts w:ascii="Times New Roman" w:hAnsi="Times New Roman"/>
          <w:color w:val="000000"/>
          <w:szCs w:val="20"/>
        </w:rPr>
        <w:t>-      mieszankę cementu i piasku w stosunku 1:4 z piasku naturalnego spełniającego wymagania PN-EN 13242:2004 [3], cementu powszechnego użytku spełniającego wymagania PN-EN 197-1:2002 [1] i wody odpowiadającej wymaganiom  PN-EN 1008:2004 [4],</w:t>
      </w:r>
    </w:p>
    <w:p w:rsidR="0034055A" w:rsidRPr="007078D3" w:rsidRDefault="0034055A" w:rsidP="00ED04E8">
      <w:pPr>
        <w:pStyle w:val="tekstost"/>
        <w:ind w:left="283" w:hanging="283"/>
        <w:rPr>
          <w:rFonts w:ascii="Times New Roman" w:hAnsi="Times New Roman"/>
          <w:color w:val="000000"/>
          <w:szCs w:val="20"/>
        </w:rPr>
      </w:pPr>
      <w:r w:rsidRPr="007078D3">
        <w:rPr>
          <w:rFonts w:ascii="Times New Roman" w:hAnsi="Times New Roman"/>
          <w:color w:val="000000"/>
          <w:szCs w:val="20"/>
        </w:rPr>
        <w:t>c)     do wypełniania spoin w nawierzchni na podsypce piaskowej</w:t>
      </w:r>
    </w:p>
    <w:p w:rsidR="0034055A" w:rsidRPr="007078D3" w:rsidRDefault="0034055A" w:rsidP="00ED04E8">
      <w:pPr>
        <w:pStyle w:val="tekstost"/>
        <w:ind w:left="571" w:hanging="283"/>
        <w:rPr>
          <w:rFonts w:ascii="Times New Roman" w:hAnsi="Times New Roman"/>
          <w:color w:val="000000"/>
          <w:szCs w:val="20"/>
        </w:rPr>
      </w:pPr>
      <w:r w:rsidRPr="007078D3">
        <w:rPr>
          <w:rFonts w:ascii="Times New Roman" w:hAnsi="Times New Roman"/>
          <w:color w:val="000000"/>
          <w:szCs w:val="20"/>
        </w:rPr>
        <w:t>-      piasek naturalny spełniający wymagania PN-EN 13242:2004 [3],</w:t>
      </w:r>
    </w:p>
    <w:p w:rsidR="0034055A" w:rsidRPr="007078D3" w:rsidRDefault="0034055A" w:rsidP="00ED04E8">
      <w:pPr>
        <w:pStyle w:val="tekstost"/>
        <w:ind w:left="571" w:hanging="283"/>
        <w:rPr>
          <w:rFonts w:ascii="Times New Roman" w:hAnsi="Times New Roman"/>
          <w:color w:val="000000"/>
          <w:szCs w:val="20"/>
        </w:rPr>
      </w:pPr>
      <w:r w:rsidRPr="007078D3">
        <w:rPr>
          <w:rFonts w:ascii="Times New Roman" w:hAnsi="Times New Roman"/>
          <w:color w:val="000000"/>
          <w:szCs w:val="20"/>
        </w:rPr>
        <w:t>-      piasek łamany (0,075¸2) mm wg PN-EN 13242:2004 [3],</w:t>
      </w:r>
    </w:p>
    <w:p w:rsidR="0034055A" w:rsidRPr="007078D3" w:rsidRDefault="0034055A" w:rsidP="00ED04E8">
      <w:pPr>
        <w:pStyle w:val="tekstost"/>
        <w:ind w:left="283" w:hanging="283"/>
        <w:rPr>
          <w:rFonts w:ascii="Times New Roman" w:hAnsi="Times New Roman"/>
          <w:color w:val="000000"/>
          <w:szCs w:val="20"/>
        </w:rPr>
      </w:pPr>
      <w:r w:rsidRPr="007078D3">
        <w:rPr>
          <w:rFonts w:ascii="Times New Roman" w:hAnsi="Times New Roman"/>
          <w:color w:val="000000"/>
          <w:szCs w:val="20"/>
        </w:rPr>
        <w:t>d)    do wypełniania spoin w nawierzchni na podsypce cementowo-piaskowej</w:t>
      </w:r>
    </w:p>
    <w:p w:rsidR="0034055A" w:rsidRPr="007078D3" w:rsidRDefault="0034055A" w:rsidP="00ED04E8">
      <w:pPr>
        <w:pStyle w:val="tekstost"/>
        <w:ind w:left="571" w:hanging="283"/>
        <w:rPr>
          <w:rFonts w:ascii="Times New Roman" w:hAnsi="Times New Roman"/>
          <w:color w:val="000000"/>
          <w:szCs w:val="20"/>
        </w:rPr>
      </w:pPr>
      <w:r w:rsidRPr="007078D3">
        <w:rPr>
          <w:rFonts w:ascii="Times New Roman" w:hAnsi="Times New Roman"/>
          <w:color w:val="000000"/>
          <w:szCs w:val="20"/>
        </w:rPr>
        <w:t>-      zaprawę cementowo-piaskową 1:4 spełniającą wymagania wg 2.3 b),</w:t>
      </w:r>
    </w:p>
    <w:p w:rsidR="0034055A" w:rsidRPr="007078D3" w:rsidRDefault="0034055A" w:rsidP="00ED04E8">
      <w:pPr>
        <w:pStyle w:val="tekstost"/>
        <w:ind w:left="283" w:hanging="283"/>
        <w:rPr>
          <w:rFonts w:ascii="Times New Roman" w:hAnsi="Times New Roman"/>
          <w:color w:val="000000"/>
          <w:szCs w:val="20"/>
        </w:rPr>
      </w:pPr>
      <w:r w:rsidRPr="007078D3">
        <w:rPr>
          <w:rFonts w:ascii="Times New Roman" w:hAnsi="Times New Roman"/>
          <w:color w:val="000000"/>
          <w:szCs w:val="20"/>
        </w:rPr>
        <w:t>e)     do wypełniania szczelin dylatacyjnych w nawierzchni na podsypce cementowo-piaskowej</w:t>
      </w:r>
    </w:p>
    <w:p w:rsidR="0034055A" w:rsidRPr="007078D3" w:rsidRDefault="0034055A" w:rsidP="00ED04E8">
      <w:pPr>
        <w:pStyle w:val="tekstost"/>
        <w:ind w:left="571" w:hanging="283"/>
        <w:rPr>
          <w:rFonts w:ascii="Times New Roman" w:hAnsi="Times New Roman"/>
          <w:color w:val="000000"/>
          <w:szCs w:val="20"/>
        </w:rPr>
      </w:pPr>
      <w:r w:rsidRPr="007078D3">
        <w:rPr>
          <w:rFonts w:ascii="Times New Roman" w:hAnsi="Times New Roman"/>
          <w:color w:val="000000"/>
          <w:szCs w:val="20"/>
        </w:rPr>
        <w:t xml:space="preserve">-      do wypełnienia górnej części szczeliny dylatacyjnej należy stosować drogowe zalewy kauczukowo-asfaltowe lub syntetyczne masy uszczelniające (np. poliuretanowe, poliwinylowe itp.), spełniające wymagania norm lub aprobat technicznych, względnie odpowiadających wymaganiom </w:t>
      </w:r>
      <w:r w:rsidR="00985629">
        <w:rPr>
          <w:rFonts w:ascii="Times New Roman" w:hAnsi="Times New Roman"/>
          <w:color w:val="000000"/>
          <w:szCs w:val="20"/>
        </w:rPr>
        <w:t>SST</w:t>
      </w:r>
      <w:r w:rsidRPr="007078D3">
        <w:rPr>
          <w:rFonts w:ascii="Times New Roman" w:hAnsi="Times New Roman"/>
          <w:color w:val="000000"/>
          <w:szCs w:val="20"/>
        </w:rPr>
        <w:t xml:space="preserve"> D-05.03.04a  [12],</w:t>
      </w:r>
    </w:p>
    <w:p w:rsidR="0034055A" w:rsidRPr="007078D3" w:rsidRDefault="0034055A" w:rsidP="00ED04E8">
      <w:pPr>
        <w:pStyle w:val="tekstost"/>
        <w:ind w:left="571" w:hanging="283"/>
        <w:rPr>
          <w:rFonts w:ascii="Times New Roman" w:hAnsi="Times New Roman"/>
          <w:color w:val="000000"/>
          <w:szCs w:val="20"/>
        </w:rPr>
      </w:pPr>
      <w:r w:rsidRPr="007078D3">
        <w:rPr>
          <w:rFonts w:ascii="Times New Roman" w:hAnsi="Times New Roman"/>
          <w:color w:val="000000"/>
          <w:szCs w:val="20"/>
        </w:rPr>
        <w:t>-      do wypełnienia dolnej części szczeliny dylatacyjnej należy stosować wilgotną mieszankę cementowo-piaskową 1:8 z materiałów spełniających wymagania wg 2.3 b) lub inny materiał zaakceptowany przez Inżyniera.</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Składowanie kruszywa, nie przeznaczonego do bezpośredniego wbudowania po dostarczeniu na budowę, powinno odbywać się na podłożu równym, utwardzonym i dobrze odwodnionym, przy zabezpieczeniu kruszywa przed zanieczyszczeniem i zmieszaniem z innymi materiałami kamiennymi.</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Cement w workach, co najmniej trzywarstwowych, o masie np. 50 kg, można przechowywać do: a) 10 dni w miejscach zadaszonych na otwartym terenie o podłożu twardym i suchym, b) terminu trwałości, podanego przez producenta, w pomieszczeniach o szczelnym dachu i ścianach oraz podłogach suchych i czystych. Cement dostarczony na paletach magazynuje się razem z paletami, z dopuszczalną wysokością 3 szt. palet. Cement niespaletowany układa się w stosy płaskie o liczbie warstw 12 (dla worków trzywarstwowych). Cement dostarczany luzem przechowuje się w magazynach specjalnych (zbiornikach stalowych, betonowych), przystosowanych do pneumatycznego załadowania i wyładowania.</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2.4. Krawężniki, obrzeża i ścieki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Jeśli dokumentacja projektowa, ST lub Inżynier nie ustalą inaczej, to do obramowania nawierzchni z kostek można stosować:</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xml:space="preserve">a)    krawężniki betonowe wg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D-08.01.01a [13],</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xml:space="preserve">b)    obrzeża betonowe wg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D-08.03.01 [15],</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xml:space="preserve">c)     krawężniki kamienne wg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D-08.01.02a [14].</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Przy krawężnikach mogą występować ścieki wg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D-08.05.00 [16].</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Krawężniki, obrzeża i ścieki mogą być ustawiane na: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podsypce piaskowej lub cementowo-piaskowej, spełniających wymagania wg 2.3 a  i  2.3 b,</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xml:space="preserve">b)    ławach żwirowych, tłuczniowych lub betonowych, spełniających wymagania wg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D-08.01.01a [13], 08.01.02a [14],  D-08.03.01  [15] i D-08.05.00 [16].</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Krawężniki i obrzeża mogą być przechowywane na składowiskach otwartych, posegregowane według typów, rodzajów, odmian i wielkości. Należy układać je z zastosowaniem podkładek i przekładek drewnianych.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Kruszywo i cement powinny być składowane i przechowywane wg 2.3.</w:t>
      </w:r>
    </w:p>
    <w:p w:rsidR="0034055A" w:rsidRPr="007078D3" w:rsidRDefault="0034055A" w:rsidP="00ED04E8">
      <w:pPr>
        <w:pStyle w:val="Nagwek2"/>
        <w:spacing w:before="0" w:beforeAutospacing="0" w:after="0" w:afterAutospacing="0"/>
        <w:ind w:left="426" w:hanging="426"/>
        <w:jc w:val="both"/>
        <w:rPr>
          <w:rFonts w:ascii="Times New Roman" w:hAnsi="Times New Roman"/>
          <w:color w:val="000000"/>
          <w:szCs w:val="20"/>
        </w:rPr>
      </w:pPr>
      <w:r w:rsidRPr="007078D3">
        <w:rPr>
          <w:rFonts w:ascii="Times New Roman" w:hAnsi="Times New Roman"/>
          <w:color w:val="000000"/>
          <w:szCs w:val="20"/>
        </w:rPr>
        <w:t>2.5.   Materiały do podbudowy ułożonej pod nawierzchnią z betonowej kostki brukowej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Materiały do podbudowy, ustalonej w dokumentacji projektowej, powinny odpowiadać wymaganiom właściwej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lub innym dokumentom zaakceptowanym przez Inżyniera.</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82" w:name="_Toc213224428"/>
      <w:bookmarkStart w:id="1283" w:name="_Toc107903638"/>
      <w:bookmarkEnd w:id="1282"/>
      <w:r w:rsidRPr="007078D3">
        <w:rPr>
          <w:rFonts w:ascii="Times New Roman" w:hAnsi="Times New Roman"/>
          <w:caps/>
          <w:color w:val="000000"/>
          <w:szCs w:val="20"/>
        </w:rPr>
        <w:t>3. </w:t>
      </w:r>
      <w:bookmarkEnd w:id="1283"/>
      <w:r w:rsidRPr="007078D3">
        <w:rPr>
          <w:rFonts w:ascii="Times New Roman" w:hAnsi="Times New Roman"/>
          <w:caps/>
          <w:color w:val="000000"/>
          <w:szCs w:val="20"/>
        </w:rPr>
        <w:t>SPRZĘT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3.1. Ogólne wymagania dotyczące sprzętu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sprzętu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3.</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3.2. Sprzęt do wykonania nawierzchni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Układanie betonowej kostki brukowej może odbywać się:</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ręcznie, zwłaszcza na małych powierzchniach,</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 przycinania kostek można stosować specjalne narzędzia tnące (np. przycinarki, szlifierki z tarczą).</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Do zagęszczania nawierzchni z kostki należy stosować zagęszczarki wibracyjne (płytowe) z wykładziną elastomerową, chroniące kostki przed ścieraniem i wykruszaniem naroży.</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Sprzęt do wykonania koryta, podbudowy i podsypki powinien odpowiadać wymaganiom właściwych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wymienionych w pkcie 5.4 lub innym dokumentom (normom PN i BN, wytycznym IBDiM) względnie opracowanym ST zaakceptowanym przez Inżyniera.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 wytwarzania podsypki cementowo-piaskowej i zapraw należy stosować betoniarki.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 wypełniania szczelin dylatacyjnych należy stosować sprzęt odpowiadający wymaganiom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D-05.03.04a [12].</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84" w:name="_Toc213224429"/>
      <w:bookmarkStart w:id="1285" w:name="_Toc107903639"/>
      <w:bookmarkEnd w:id="1284"/>
      <w:r w:rsidRPr="007078D3">
        <w:rPr>
          <w:rFonts w:ascii="Times New Roman" w:hAnsi="Times New Roman"/>
          <w:caps/>
          <w:color w:val="000000"/>
          <w:szCs w:val="20"/>
        </w:rPr>
        <w:t>4. </w:t>
      </w:r>
      <w:bookmarkEnd w:id="1285"/>
      <w:r w:rsidRPr="007078D3">
        <w:rPr>
          <w:rFonts w:ascii="Times New Roman" w:hAnsi="Times New Roman"/>
          <w:caps/>
          <w:color w:val="000000"/>
          <w:szCs w:val="20"/>
        </w:rPr>
        <w:t>TRANSPORT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4.1. Ogólne wymagania dotyczące transportu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transportu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4.</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4.2. Transport materiałów do wykonania nawierzchni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Betonowe kostki brukowe mogą być przewożone na paletach - dowolnymi środkami transportowymi po osiągnięciu przez beton wytrzymałości na ściskanie co najmniej 15 MPa. Kostki w trakcie transportu powinny być zabezpieczone przed przemieszczaniem się i uszkodzeniem.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Jako środki transportu wewnątrzzakładowego kostek na środki transportu zewnętrznego mogą służyć wózki widłowe, którymi można dokonać załadunku palet. Do załadunku palet na środki transportu można wykorzystywać również dźwigi samochodowe.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Palety transportowe powinny być spinane taśmami stalowymi lub plastikowymi, zabezpieczającymi kostki przed uszkodzeniem w czasie transportu. Na jednej palecie zaleca się układać do 10 warstw kostek (zależnie od grubości i kształtu), tak aby masa palety z kostkami wynosiła od 1200 kg do 1700 kg. Pożądane jest, aby palety z kostkami były wysyłane do odbiorcy środkiem transportu samochodowego wyposażonym w dźwig do za- i rozładunku.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Krawężniki i obrzeża mogą być przewożone dowolnymi środkami transportowymi. Krawężniki betonowe należy układać w pozycji pionowej z nachyleniem w kierunku jazdy. Krawężniki kamienne należy układać na podkładkach drewnianych, długością w kierunku jazdy. Krawężniki i obrzeża powinny być zabezpieczone przed przemieszczaniem się i uszkodzeniem w czasie transportu.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Kruszywa można przewozić dowolnym środkiem transportu, w warunkach zabezpieczających je przed zanieczyszczeniem i zmieszaniem z innymi materiałami. Podczas transportu kruszywa powinny być zabezpieczone przed wysypaniem, a kruszywo drobne - przed rozpyleniem.</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Cement w workach może być przewożony samochodami krytymi, wagonami towarowymi i innymi środkami transportu, w sposób nie powodujący uszkodzeń opakowania. Worki przewożone na paletach układa się po 5 warstw worków, po 4 szt. w warstwie. Worki niespaletowane układa się na płask, przylegające do siebie, w równej wysokości do 10 warstw. Ładowanie i wyładowywanie zaleca się wykonywać za pomocą zmechanizowanych urządzeń do poziomego i pionowego przemieszczania ładunków. Cement luzem może być przewożony w zbiornikach transportowych (np. wagonach, samochodach), czystych i wolnych od pozostałości z poprzednich dostaw, oraz nie powinien ulegać zniszczeniom podczas transportu. Środki transportu powinny być wyposażone we wsypy i urządzenia do wyładowania cementu.    </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Zalewę lub masy uszczelniające do szczelin dylatacyjnych można transportować dowolnymi środkami transportu w fabrycznie zamkniętych pojemnikach lub opakowaniach, chroniących je przed zanieczyszczeniem.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Materiały do podbudowy powinny być przewożone w sposób odpowiadający wymaganiom właściwej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86" w:name="_Toc213224430"/>
      <w:bookmarkStart w:id="1287" w:name="_Toc107903640"/>
      <w:bookmarkEnd w:id="1286"/>
      <w:r w:rsidRPr="007078D3">
        <w:rPr>
          <w:rFonts w:ascii="Times New Roman" w:hAnsi="Times New Roman"/>
          <w:caps/>
          <w:color w:val="000000"/>
          <w:szCs w:val="20"/>
        </w:rPr>
        <w:t>5. </w:t>
      </w:r>
      <w:bookmarkEnd w:id="1287"/>
      <w:r w:rsidRPr="007078D3">
        <w:rPr>
          <w:rFonts w:ascii="Times New Roman" w:hAnsi="Times New Roman"/>
          <w:caps/>
          <w:color w:val="000000"/>
          <w:szCs w:val="20"/>
        </w:rPr>
        <w:t>WYKONANIE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5.1. Ogólne zasady wykonania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wykonania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5.</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5.2. Podłoże i koryto</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Grunty podłoża powinny być niewysadzinowe, jednorodne i nośne oraz zabezpieczone przed nadmiernym zawilgoceniem i ujemnymi skutkami przemarzania, zgodnie z dokumentacją projektową.</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Koryto pod podbudowę lub nawierzchnię powinno być wyprofilowane zgodnie z projektowanymi spadkami oraz przygotowane zgodnie z wymaganiami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D-04.01.01 [6].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Koryto musi mieć skuteczne odwodnienie, zgodne z dokumentacją projektową.</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5.3. Konstrukcja nawierzchni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Konstrukcja nawierzchni powinna być zgodna z dokumentacją projektową lub ST (przykłady konstrukcji nawierzchni podają załączniki 3 i 4).</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Konstrukcja nawierzchni może obejmować ułożenie warstwy ścieralnej z betonowej kostki brukowej na: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podsypce piaskowej lub cementowo-piaskowej oraz podbudowie,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podsypce piaskowej rozścielonej bezpośrednio na podłożu z gruntu piaszczystego.</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Podstawowe czynności przy wykonywaniu nawierzchni, z występowaniem podbudowy, podsypki cementowo-piaskowej i wypełnieniem spoin zaprawą cementowo-piaskową, obejmują:</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1.     wykonanie podbudowy,</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2.     wykonanie obramowania nawierzchni (z krawężników, obrzeży i ew. ścieków),</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3.     przygotowanie i rozścielenie podsypki cementowo-piaskowej,</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4.     ułożenie kostek z ubiciem,</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5.     przygotowanie zaprawy cementowo-piaskowej i wypełnienie nią szczelin,</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6.     wypełnienie szczelin dylatacyjnych,</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lastRenderedPageBreak/>
        <w:t>7.     pielęgnację nawierzchni i oddanie jej do ruchu.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Przy wykonywaniu nawierzchni na podsypce piaskowej, podstawowych czynności jest mniej, gdyż nie występują zwykle poz. 1, 6 i 7, a poz. 3 dotyczy podsypki piaskowej, zaś poz. 5 - wypełnienia szczelin piaskiem.</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5.4. Podbudowa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Rodzaj podbudowy przewidzianej do wykonania pod warstwą betonowej kostki brukowej powinien być zgodny z dokumentacją projektową.</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Wykonanie podbudowy powinno odpowiadać wymaganiom właściwej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np.:</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D-04.01.01¸04.03.01 „Dolne warstwy podbudów oraz oczyszczenie i skropienie” [6],</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D-04.04.00¸04.04.03 „Podbudowy z kruszywa stabilizowanego mechanicznie” (z kruszywa naturalnego lub łamanego) [7],</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c)     D-04.04.04 „Podbudowa z tłucznia kamiennego” [8],</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d)    D-04.05.00¸04.05.04 „Podbudowy i ulepszone podłoże z gruntów lub kruszyw  stabilizowanych spoiwami hydraulicznymi” [9],</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e)     D-04.06.01 „Podbudowa z chudego betonu” [10],</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f)     D-04.06.01b „Podbudowa z betonu cementowego” [11].</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Inne rodzaje podbudów powinny odpowiadać wymaganiom norm, wytycznych IBDiM lub indywidualnie opracowanym ST zaakceptowanym przez Inżyniera.</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5.5. Obramowanie nawierzchni</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Rodzaj obramowania nawierzchni powinien być zgodny z dokumentacją projektową lub ST.</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Jeśli dokumentacja projektowa lub ST nie ustala inaczej, to materiały do wykonania obramowań powinny odpowiadać wymaganiom określonym w pkcie 2.4.</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xml:space="preserve">                Ustawianie krawężników, obrzeży i ew. wykonanie ścieków przykrawężnikowych powinno być zgodne z wymaganiami zawartymi w </w:t>
      </w:r>
      <w:r w:rsidR="00985629">
        <w:rPr>
          <w:rFonts w:ascii="Times New Roman" w:hAnsi="Times New Roman"/>
          <w:color w:val="000000"/>
          <w:szCs w:val="20"/>
        </w:rPr>
        <w:t>SST</w:t>
      </w:r>
      <w:r w:rsidRPr="007078D3">
        <w:rPr>
          <w:rFonts w:ascii="Times New Roman" w:hAnsi="Times New Roman"/>
          <w:color w:val="000000"/>
          <w:szCs w:val="20"/>
        </w:rPr>
        <w:t xml:space="preserve"> D-08.01.01a [13], 08.01.02 a [14], D-08.03.01 [15] i D-08.05.00 [16].</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Krawężniki i obrzeża zaleca się ustawiać przed przystąpieniem do układania nawierzchni z kostki. Przed ich ustawieniem, pożądane jest ułożenie pojedynczego rzędu kostek w celu ustalenia szerokości nawierzchni i prawidłowej lokalizacji krawężników lub obrzeży.</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5.6. Podsypka</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Rodzaj podsypki i jej grubość powinny być zgodne z dokumentacją projektową lub ST.</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Jeśli dokumentacja projektowa lub ST nie ustala inaczej to grubość podsypki powinna wynosić po zagęszczeniu 3¸5 cm, a wymagania dla materiałów na podsypkę powinny być zgodne z pktem 2.3. Dopuszczalne odchyłki od zaprojektowanej grubości podsypki nie powinny przekraczać ± 1 cm.</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Podsypkę piaskową należy zwilżyć wodą, równomiernie rozścielić i zagęścić lekkimi walcami (np. ręcznymi) lub zagęszczarkami wibracyjnymi w stanie wilgotności optymalnej.</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Podsypkę cementowo-piaskową stosuje się z zasady przy występowaniu podbudowy pod nawierzchnią z kostki. Podsypkę cementowo-piaskową przygotowuje się w betoniarkach, a następnie rozściela się na uprzednio zwilżonej podbudowie, przy zachowaniu:</w:t>
      </w:r>
    </w:p>
    <w:p w:rsidR="0034055A" w:rsidRPr="007078D3" w:rsidRDefault="0034055A" w:rsidP="00ED04E8">
      <w:pPr>
        <w:pStyle w:val="tekstost"/>
        <w:ind w:left="283" w:hanging="283"/>
        <w:rPr>
          <w:rFonts w:ascii="Times New Roman" w:hAnsi="Times New Roman"/>
          <w:color w:val="000000"/>
          <w:szCs w:val="20"/>
        </w:rPr>
      </w:pPr>
      <w:r w:rsidRPr="007078D3">
        <w:rPr>
          <w:rFonts w:ascii="Times New Roman" w:hAnsi="Times New Roman"/>
          <w:color w:val="000000"/>
          <w:szCs w:val="20"/>
        </w:rPr>
        <w:t>-      współczynnika wodnocementowego od 0,25 do 0,35,</w:t>
      </w:r>
    </w:p>
    <w:p w:rsidR="0034055A" w:rsidRPr="007078D3" w:rsidRDefault="0034055A" w:rsidP="00ED04E8">
      <w:pPr>
        <w:pStyle w:val="tekstost"/>
        <w:ind w:left="283" w:hanging="283"/>
        <w:rPr>
          <w:rFonts w:ascii="Times New Roman" w:hAnsi="Times New Roman"/>
          <w:color w:val="000000"/>
          <w:szCs w:val="20"/>
        </w:rPr>
      </w:pPr>
      <w:r w:rsidRPr="007078D3">
        <w:rPr>
          <w:rFonts w:ascii="Times New Roman" w:hAnsi="Times New Roman"/>
          <w:color w:val="000000"/>
          <w:szCs w:val="20"/>
        </w:rPr>
        <w:t>-      wytrzymałości na ściskanie nie mniejszej niż R</w:t>
      </w:r>
      <w:r w:rsidRPr="007078D3">
        <w:rPr>
          <w:rFonts w:ascii="Times New Roman" w:hAnsi="Times New Roman"/>
          <w:color w:val="000000"/>
          <w:szCs w:val="20"/>
          <w:vertAlign w:val="subscript"/>
        </w:rPr>
        <w:t>7</w:t>
      </w:r>
      <w:r w:rsidRPr="007078D3">
        <w:rPr>
          <w:rFonts w:ascii="Times New Roman" w:hAnsi="Times New Roman"/>
          <w:color w:val="000000"/>
          <w:szCs w:val="20"/>
        </w:rPr>
        <w:t> = 10 MPa, R</w:t>
      </w:r>
      <w:r w:rsidRPr="007078D3">
        <w:rPr>
          <w:rFonts w:ascii="Times New Roman" w:hAnsi="Times New Roman"/>
          <w:color w:val="000000"/>
          <w:szCs w:val="20"/>
          <w:vertAlign w:val="subscript"/>
        </w:rPr>
        <w:t>28</w:t>
      </w:r>
      <w:r w:rsidRPr="007078D3">
        <w:rPr>
          <w:rFonts w:ascii="Times New Roman" w:hAnsi="Times New Roman"/>
          <w:color w:val="000000"/>
          <w:szCs w:val="20"/>
        </w:rPr>
        <w:t> = 14 MPa.</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W praktyce, wilgotność układanej podsypki powinna być taka, aby po ściśnięciu podsypki w dłoni podsypka nie rozsypywała się i nie było na dłoni śladów wody, a po naciśnięciu palcami podsypka rozsypywała się. Rozścielenie podsypki cementowo-piaskowej powinno wyprzedzać układanie nawierzchni z kostek od 3 do 4 m. Rozścielona podsypka powinna być wyprofilowana i zagęszczona w stanie wilgotnym, lekkimi walcami (np. ręcznymi) lub zagęszczarkami wibracyjnymi.</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Jeśli podsypka jest wykonana z suchej zaprawy cementowo-piaskowej to po zawałowaniu nawierzchni należy ją polać wodą w takiej ilości, aby woda zwilżyła całą grubość podsypki. Rozścielenie podsypki z suchej zaprawy może wyprzedzać układanie nawierzchni z kostek o około 20 m.</w:t>
      </w:r>
    </w:p>
    <w:p w:rsidR="0034055A" w:rsidRPr="007078D3" w:rsidRDefault="0034055A" w:rsidP="00ED04E8">
      <w:pPr>
        <w:pStyle w:val="tekstost"/>
        <w:rPr>
          <w:rFonts w:ascii="Times New Roman" w:hAnsi="Times New Roman"/>
          <w:color w:val="000000"/>
          <w:szCs w:val="20"/>
        </w:rPr>
      </w:pPr>
      <w:r w:rsidRPr="007078D3">
        <w:rPr>
          <w:rFonts w:ascii="Times New Roman" w:hAnsi="Times New Roman"/>
          <w:color w:val="000000"/>
          <w:szCs w:val="20"/>
        </w:rPr>
        <w:t>                Całkowite ubicie nawierzchni i wypełnienie spoin zaprawą musi być zakończone przed rozpoczęciem wiązania cementu w podsypce.</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5.7. Układanie nawierzchni z betonowych kostek brukowych</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b/>
          <w:bCs/>
          <w:color w:val="000000"/>
          <w:szCs w:val="20"/>
        </w:rPr>
        <w:t>5.7.1. </w:t>
      </w:r>
      <w:r w:rsidRPr="007078D3">
        <w:rPr>
          <w:rFonts w:ascii="Times New Roman" w:hAnsi="Times New Roman" w:cs="Times New Roman"/>
          <w:color w:val="000000"/>
          <w:szCs w:val="20"/>
        </w:rPr>
        <w:t>Ustalenie kształtu, wymiaru i koloru kostek oraz desenia ich układania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Kształt, wymiary, barwę i inne cechy charakterystyczne kostek wg pktu 2.2.1 oraz deseń ich układania (przykłady podano w zał. 5) powinny być zgodne z dokumentacją projektową lub ST, a w przypadku braku wystarczających ustaleń Wykonawca przedkłada odpowiednie propozycje do zaakceptowania Inżynierowi. Przed ostatecznym zaakceptowaniem kształtu, koloru, sposobu układania i wytwórni kostek, Inżynier może polecić Wykonawcy ułożenie po 1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wstępnie wybranych kostek, wyłącznie na podsypce piaskowej.</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b/>
          <w:bCs/>
          <w:color w:val="000000"/>
          <w:szCs w:val="20"/>
        </w:rPr>
        <w:t>5.7.2. </w:t>
      </w:r>
      <w:r w:rsidRPr="007078D3">
        <w:rPr>
          <w:rFonts w:ascii="Times New Roman" w:hAnsi="Times New Roman" w:cs="Times New Roman"/>
          <w:color w:val="000000"/>
          <w:szCs w:val="20"/>
        </w:rPr>
        <w:t>Warunki atmosferyczne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Ułożenie nawierzchni z kostki na podsypce cementowo-piaskowej zaleca się wykonywać przy temperaturze otoczenia nie niższej niż +5</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C. Dopuszcza się wykonanie nawierzchni jeśli w ciągu dnia temperatura utrzymuje się w granicach od 0</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C do +5</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C, przy czym jeśli w nocy spodziewane są przymrozki kostkę należy zabezpieczyć materiałami o złym przewodnictwie ciepła (np. matami ze słomy, papą itp.).</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Nawierzchnię na podsypce piaskowej zaleca się wykonywać w dodatnich temperaturach otoczenia.</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b/>
          <w:bCs/>
          <w:color w:val="000000"/>
          <w:szCs w:val="20"/>
        </w:rPr>
        <w:t>5.7.3. </w:t>
      </w:r>
      <w:r w:rsidRPr="007078D3">
        <w:rPr>
          <w:rFonts w:ascii="Times New Roman" w:hAnsi="Times New Roman" w:cs="Times New Roman"/>
          <w:color w:val="000000"/>
          <w:szCs w:val="20"/>
        </w:rPr>
        <w:t>Ułożenie nawierzchni z kostek</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Warstwa nawierzchni z kostki powinna być wykonana z elementów o jednakowej grubości. Na większym fragmencie robót zaleca się stosować kostki dostarczone w tej samej partii materiału, w której niedopuszczalne są różne odcienie wybranego koloru kostki.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Układanie kostki można wykonywać ręcznie lub mechanicznie.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Układanie ręczne zaleca się wykonywać na mniejszych powierzchniach, zwłaszcza skomplikowanych pod względem kształtu lub wymagających kompozycji kolorystycznej układanych deseni oraz różnych wymiarów i kształtów kostek. Układanie kostek powinni wykonywać przyuczeni brukarze.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Układanie mechaniczne zaleca się wykonywać na dużych powierzchniach o prostym kształcie, tak aby układarka mogła przenosić z palety warstwę kształtek na miejsce ich ułożenia z wymaganą dokładnością. Kostka do układania mechanicznego nie może mieć dużych odchyłek wymiarowych i musi być odpowiednio przygotowana przez producenta, tj. ułożona na palecie w odpowiedni wzór, bez dołożenia połówek i dziewiątek, przy czym każda warstwa na palecie musi być dobrze przesypana bardzo drobnym piaskiem, by kostki nie przywierały do siebie. Układanie mechaniczne zawsze musi być wsparte pracą brukarzy, którzy uzupełniają przerwy, wyrabiają łuki, dokładają kostki w okolicach studzienek i krawężników.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Kostkę układa się około 1,5 cm wyżej od projektowanej niwelety, ponieważ po procesie ubijania podsypka zagęszcza się.</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Powierzchnia kostek położonych obok urządzeń infrastruktury technicznej (np. studzienek, włazów itp.) powinna trwale wystawać od 3 mm do 5 mm powyżej powierzchni tych urządzeń oraz od 3 mm do 10 mm powyżej korytek ściekowych (ścieków).</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Do uzupełnienia przestrzeni przy krawężnikach, obrzeżach i studzienkach można używać elementy kostkowe wykończeniowe w postaci tzw. połówek i dziewiątek, mających wszystkie krawędzie równe i odpowiednio fazowane. W przypadku potrzeby kształtek o nietypowych wymiarach, wolną przestrzeń uzupełnia się kostką ciętą, przycinaną na budowie specjalnymi narzędziami tnącymi (przycinarkami, szlifierkami z tarczą itp.).</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Dzienną działkę roboczą nawierzchni na podsypce cementowo-piaskowej zaleca się zakończyć prowizorycznie około półmetrowym pasem nawierzchni na podsypce piaskowej w celu wytworzenia oporu dla ubicia kostki ułożonej na stałe. Przed dalszym wznowieniem robót, prowizorycznie ułożoną nawierzchnię na podsypce piaskowej należy rozebrać i usunąć wraz z podsypką.</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b/>
          <w:bCs/>
          <w:color w:val="000000"/>
          <w:szCs w:val="20"/>
        </w:rPr>
        <w:t>5.7.4. </w:t>
      </w:r>
      <w:r w:rsidRPr="007078D3">
        <w:rPr>
          <w:rFonts w:ascii="Times New Roman" w:hAnsi="Times New Roman" w:cs="Times New Roman"/>
          <w:color w:val="000000"/>
          <w:szCs w:val="20"/>
        </w:rPr>
        <w:t>Ubicie nawierzchni z kostek</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Ubicie nawierzchni należy przeprowadzić za pomocą zagęszczarki wibracyjnej (płytowej) z osłoną z tworzywa sztucznego. Do ubicia nawierzchni nie wolno używać walca.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Ubijanie nawierzchni należy prowadzić od krawędzi powierzchni w kierunku jej środka i jednocześnie w kierunku poprzecznym kształtek. Ewentualne nierówności powierzchniowe mogą być zlikwidowane przez ubijanie w kierunku wzdłużnym kostki.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 ubiciu nawierzchni wszystkie kostki uszkodzone (np. pęknięte) należy wymienić na kostki całe.</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b/>
          <w:bCs/>
          <w:color w:val="000000"/>
          <w:szCs w:val="20"/>
        </w:rPr>
        <w:t>5.7.5. </w:t>
      </w:r>
      <w:r w:rsidRPr="007078D3">
        <w:rPr>
          <w:rFonts w:ascii="Times New Roman" w:hAnsi="Times New Roman" w:cs="Times New Roman"/>
          <w:color w:val="000000"/>
          <w:szCs w:val="20"/>
        </w:rPr>
        <w:t>Spoiny i szczeliny dylatacyjne</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5.7.5.1. Spoiny</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Szerokość spoin pomiędzy betonowymi kostkami brukowymi powinna wynosić od 3 mm do 5 mm.</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 przypadku stosowania prostopadłościennych kostek brukowych zaleca się aby osie spoin pomiędzy dłuższymi bokami tych kostek tworzyły z osią drogi kąt 45°, a wierzchołek utworzonego kąta prostego pomiędzy spoinami miał kierunek odwrotny do kierunku spadku podłużnego nawierzchni.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 ułożeniu kostek, spoiny należy wypełnić:</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piaskiem, spełniającym wymagania pktu 2.3 c), jeśli nawierzchnia jest na podsypce piaskowej,</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zaprawą cementowo-piaskową, spełniającą wymagania pktu 2.3 d), jeśli nawierzchnia jest na podsypce cementowo-piaskowej.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Wypełnienie spoin piaskiem polega na rozsypaniu warstwy piasku i wmieceniu go w spoiny na sucho lub, po obfitym polaniu wodą - wmieceniu papki piaskowej szczotkami względnie rozgarniaczkami z piórami gumowymi.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Zaprawę cementowo-piaskową zaleca się przygotować w betoniarce, w sposób zapewniający jej wystarczającą płynność. Spoiny można wypełnić przez rozlanie zaprawy na nawierzchnię i nagarnianie jej w szczeliny szczotkami lub rozgarniaczkami z piórami gumowymi. Przed rozpoczęciem zalewania kostka powinna być oczyszczona i dobrze zwilżona wodą. Zalewa powinna całkowicie wypełnić spoiny i tworzyć monolit z kostkami.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Przy wypełnianiu spoin zaprawą cementowo-piaskową należy zabezpieczyć przed zalaniem nią szczeliny dylatacyjne, wkładając zwinięte paski papy, zwitki z worków po cemencie itp.</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Po wypełnianiu spoin zaprawą cementowo-piaskową nawierzchnię należy starannie oczyścić; szczególnie dotyczy to nawierzchni z kostek kolorowych i z różnymi deseniami układania.</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5.7.5.2. Szczeliny dylatacyjne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W przypadku układania kostek na podsypce cementowo-piaskowej i wypełnianiu spoin zaprawą cementowo-piaskową, należy przewidzieć wykonanie szczelin dylatacyjnych w odległościach zgodnych z dokumentacją projektową lub ST względnie nie większych niż co 8 m. Szerokość szczelin dylatacyjnych powinna umożliwiać przejęcie przez nie przemieszczeń wywołanych wysokimi temperaturami nawierzchni w okresie letnim, lecz nie powinna być mniejsza niż 8 mm. Szczeliny te powinny być wypełnione trwale zalewami i masami określonymi w pkcie 2.3 e). Sposób wypełnienia szczelin powinien odpowiadać wymaganiom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D-05.03.04a [12].</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Szczeliny dylatacyjne poprzeczne należy stosować dodatkowo w miejscach, w których występuje zmiana sztywności podłoża (np. nad przepustami, przy przyczółkach mostowych, nad szczelinami dylatacyjnymi w podbudowie itp.). Zaleca się wykonywać szczeliny podłużne przy ściekach wzdłuż jezdni.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5.8. Pielęgnacja nawierzchni i oddanie jej dla ruchu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Nawierzchnię na podsypce piaskowej ze spoinami wypełnionymi piaskiem można oddać do użytku bezpośrednio po jej wykonaniu.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Nawierzchnię na podsypce cementowo-piaskowej ze spoinami wypełnionymi zaprawą cementowo-piaskową, po jej wykonaniu należy przykryć warstwą wilgotnego piasku o grubości od 3,0 do 4,0 cm i utrzymywać ją w stanie wilgotnym przez 7 do 10 dni. Po upływie od 2 tygodni (przy temperaturze średniej otoczenia nie niższej niż 15</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C) do          3 tygodni (w porze chłodniejszej) nawierzchnię należy oczyścić z piasku i można oddać do użytku.</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r w:rsidRPr="007078D3">
        <w:rPr>
          <w:rFonts w:ascii="Times New Roman" w:hAnsi="Times New Roman"/>
          <w:caps/>
          <w:color w:val="000000"/>
          <w:szCs w:val="20"/>
        </w:rPr>
        <w:t> </w:t>
      </w:r>
      <w:bookmarkStart w:id="1288" w:name="_Toc213224431"/>
      <w:bookmarkStart w:id="1289" w:name="_Toc107903641"/>
      <w:bookmarkEnd w:id="1288"/>
      <w:r w:rsidRPr="007078D3">
        <w:rPr>
          <w:rFonts w:ascii="Times New Roman" w:hAnsi="Times New Roman"/>
          <w:caps/>
          <w:color w:val="000000"/>
          <w:szCs w:val="20"/>
        </w:rPr>
        <w:t>6. </w:t>
      </w:r>
      <w:bookmarkEnd w:id="1289"/>
      <w:r w:rsidRPr="007078D3">
        <w:rPr>
          <w:rFonts w:ascii="Times New Roman" w:hAnsi="Times New Roman"/>
          <w:caps/>
          <w:color w:val="000000"/>
          <w:szCs w:val="20"/>
        </w:rPr>
        <w:t>KONTROLA JAKOŚCI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6.1. Ogólne zasady kontroli jakości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kontroli jakości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6.</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6.2. Badania przed przystąpieniem do robót</w:t>
      </w:r>
    </w:p>
    <w:p w:rsidR="0034055A" w:rsidRPr="007078D3" w:rsidRDefault="0034055A"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Przed przystąpieniem do robót Wykonawca powinien:</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uzyskać wymagane dokumenty, dopuszczające wyroby budowlane do obrotu i powszechnego stosowania (aprobaty techniczne, certyfikaty zgodności, deklaracje zgodności, ew. badania materiałów wykonane przez dostawców itp.),</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wykonać badania właściwości materiałów przeznaczonych do wykonania robót, określone w pkcie 2,</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sprawdzić cechy zewnętrzne gotowych materiałów z tworzyw i prefabrykowanych.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Wszystkie dokumenty oraz wyniki badań Wykonawca przedstawia Inżynierowi do akceptacji.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6.3. Badania w czasie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Częstotliwość oraz zakres badań i pomiarów w czasie robót nawierzchniowych z kostki podaje tablica 2.</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Tablica 2. Częstotliwość oraz zakres badań i pomiarów w czasie robót</w:t>
      </w:r>
    </w:p>
    <w:tbl>
      <w:tblPr>
        <w:tblW w:w="0" w:type="auto"/>
        <w:shd w:val="clear" w:color="auto" w:fill="DDDDDD"/>
        <w:tblCellMar>
          <w:left w:w="0" w:type="dxa"/>
          <w:right w:w="0" w:type="dxa"/>
        </w:tblCellMar>
        <w:tblLook w:val="04A0"/>
      </w:tblPr>
      <w:tblGrid>
        <w:gridCol w:w="496"/>
        <w:gridCol w:w="3056"/>
        <w:gridCol w:w="2755"/>
        <w:gridCol w:w="1765"/>
      </w:tblGrid>
      <w:tr w:rsidR="0034055A" w:rsidRPr="00EF535A" w:rsidTr="0034055A">
        <w:tc>
          <w:tcPr>
            <w:tcW w:w="496" w:type="dxa"/>
            <w:tcBorders>
              <w:top w:val="single" w:sz="8" w:space="0" w:color="auto"/>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3056" w:type="dxa"/>
            <w:tcBorders>
              <w:top w:val="single" w:sz="8" w:space="0" w:color="auto"/>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Wyszczególnienie</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badań i pomiarów</w:t>
            </w:r>
          </w:p>
        </w:tc>
        <w:tc>
          <w:tcPr>
            <w:tcW w:w="2755" w:type="dxa"/>
            <w:tcBorders>
              <w:top w:val="single" w:sz="8" w:space="0" w:color="auto"/>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Częstotliwość badań</w:t>
            </w:r>
          </w:p>
        </w:tc>
        <w:tc>
          <w:tcPr>
            <w:tcW w:w="1765" w:type="dxa"/>
            <w:tcBorders>
              <w:top w:val="single" w:sz="8" w:space="0" w:color="auto"/>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Wartości dopuszczalne</w:t>
            </w:r>
          </w:p>
        </w:tc>
      </w:tr>
      <w:tr w:rsidR="0034055A" w:rsidRPr="00EF535A" w:rsidTr="0034055A">
        <w:tc>
          <w:tcPr>
            <w:tcW w:w="49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305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Sprawdzenie podłoża i koryta</w:t>
            </w:r>
          </w:p>
        </w:tc>
        <w:tc>
          <w:tcPr>
            <w:tcW w:w="2755"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lang w:val="de-DE"/>
              </w:rPr>
              <w:t xml:space="preserve">Wg </w:t>
            </w:r>
            <w:r w:rsidR="00985629">
              <w:rPr>
                <w:rFonts w:ascii="Times New Roman" w:hAnsi="Times New Roman" w:cs="Times New Roman"/>
                <w:sz w:val="18"/>
                <w:szCs w:val="18"/>
                <w:lang w:val="de-DE"/>
              </w:rPr>
              <w:t>SST</w:t>
            </w:r>
            <w:r w:rsidRPr="00EF535A">
              <w:rPr>
                <w:rFonts w:ascii="Times New Roman" w:hAnsi="Times New Roman" w:cs="Times New Roman"/>
                <w:sz w:val="18"/>
                <w:szCs w:val="18"/>
                <w:lang w:val="de-DE"/>
              </w:rPr>
              <w:t xml:space="preserve"> D-04.01.01 [6]</w:t>
            </w:r>
          </w:p>
        </w:tc>
        <w:tc>
          <w:tcPr>
            <w:tcW w:w="1765" w:type="dxa"/>
            <w:tcBorders>
              <w:top w:val="nil"/>
              <w:left w:val="nil"/>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lang w:val="de-DE"/>
              </w:rPr>
              <w:t> </w:t>
            </w:r>
          </w:p>
        </w:tc>
      </w:tr>
      <w:tr w:rsidR="0034055A" w:rsidRPr="00EF535A" w:rsidTr="0034055A">
        <w:tc>
          <w:tcPr>
            <w:tcW w:w="496" w:type="dxa"/>
            <w:tcBorders>
              <w:top w:val="single" w:sz="8" w:space="0" w:color="auto"/>
              <w:left w:val="single" w:sz="8" w:space="0" w:color="auto"/>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3056" w:type="dxa"/>
            <w:tcBorders>
              <w:top w:val="single" w:sz="8" w:space="0" w:color="auto"/>
              <w:left w:val="nil"/>
              <w:bottom w:val="nil"/>
              <w:right w:val="nil"/>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Sprawdzenie ew. podbudowy</w:t>
            </w:r>
          </w:p>
        </w:tc>
        <w:tc>
          <w:tcPr>
            <w:tcW w:w="2755" w:type="dxa"/>
            <w:tcBorders>
              <w:top w:val="single" w:sz="8" w:space="0" w:color="auto"/>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xml:space="preserve">Wg </w:t>
            </w:r>
            <w:r w:rsidR="00985629">
              <w:rPr>
                <w:rFonts w:ascii="Times New Roman" w:hAnsi="Times New Roman" w:cs="Times New Roman"/>
                <w:sz w:val="18"/>
                <w:szCs w:val="18"/>
              </w:rPr>
              <w:t>SST</w:t>
            </w:r>
            <w:r w:rsidRPr="00EF535A">
              <w:rPr>
                <w:rFonts w:ascii="Times New Roman" w:hAnsi="Times New Roman" w:cs="Times New Roman"/>
                <w:sz w:val="18"/>
                <w:szCs w:val="18"/>
              </w:rPr>
              <w:t>, norm, wytycznych, wymienionych w pkcie 5.4</w:t>
            </w:r>
          </w:p>
        </w:tc>
        <w:tc>
          <w:tcPr>
            <w:tcW w:w="1765" w:type="dxa"/>
            <w:tcBorders>
              <w:top w:val="single" w:sz="8" w:space="0" w:color="auto"/>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tc>
      </w:tr>
      <w:tr w:rsidR="0034055A" w:rsidRPr="00EF535A" w:rsidTr="0034055A">
        <w:tc>
          <w:tcPr>
            <w:tcW w:w="496" w:type="dxa"/>
            <w:tcBorders>
              <w:top w:val="single" w:sz="8" w:space="0" w:color="auto"/>
              <w:left w:val="single" w:sz="8" w:space="0" w:color="auto"/>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3056" w:type="dxa"/>
            <w:tcBorders>
              <w:top w:val="single" w:sz="8" w:space="0" w:color="auto"/>
              <w:left w:val="nil"/>
              <w:bottom w:val="nil"/>
              <w:right w:val="nil"/>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Sprawdzenie obramowania nawierzchni</w:t>
            </w:r>
          </w:p>
        </w:tc>
        <w:tc>
          <w:tcPr>
            <w:tcW w:w="2755" w:type="dxa"/>
            <w:tcBorders>
              <w:top w:val="single" w:sz="8" w:space="0" w:color="auto"/>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lang w:val="de-DE"/>
              </w:rPr>
              <w:t xml:space="preserve">wg </w:t>
            </w:r>
            <w:r w:rsidR="00985629">
              <w:rPr>
                <w:rFonts w:ascii="Times New Roman" w:hAnsi="Times New Roman" w:cs="Times New Roman"/>
                <w:sz w:val="18"/>
                <w:szCs w:val="18"/>
                <w:lang w:val="de-DE"/>
              </w:rPr>
              <w:t>SST</w:t>
            </w:r>
            <w:r w:rsidRPr="00EF535A">
              <w:rPr>
                <w:rFonts w:ascii="Times New Roman" w:hAnsi="Times New Roman" w:cs="Times New Roman"/>
                <w:sz w:val="18"/>
                <w:szCs w:val="18"/>
                <w:lang w:val="de-DE"/>
              </w:rPr>
              <w:t xml:space="preserve"> D-08.01.01</w:t>
            </w:r>
            <w:r w:rsidRPr="00EF535A">
              <w:rPr>
                <w:rFonts w:ascii="Times New Roman" w:hAnsi="Times New Roman" w:cs="Times New Roman"/>
                <w:sz w:val="18"/>
                <w:szCs w:val="18"/>
              </w:rPr>
              <w:t>a [13];</w:t>
            </w:r>
            <w:r w:rsidRPr="00EF535A">
              <w:rPr>
                <w:rFonts w:ascii="Times New Roman" w:hAnsi="Times New Roman" w:cs="Times New Roman"/>
                <w:sz w:val="18"/>
                <w:szCs w:val="18"/>
              </w:rPr>
              <w:br/>
            </w:r>
            <w:r w:rsidRPr="00EF535A">
              <w:rPr>
                <w:rFonts w:ascii="Times New Roman" w:hAnsi="Times New Roman" w:cs="Times New Roman"/>
                <w:sz w:val="18"/>
                <w:szCs w:val="18"/>
                <w:lang w:val="de-DE"/>
              </w:rPr>
              <w:t>D-08.01.02 [14]; D-08.03.01 [15]; D-08.05.00 [16]</w:t>
            </w:r>
          </w:p>
        </w:tc>
        <w:tc>
          <w:tcPr>
            <w:tcW w:w="1765" w:type="dxa"/>
            <w:tcBorders>
              <w:top w:val="nil"/>
              <w:left w:val="nil"/>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lang w:val="de-DE"/>
              </w:rPr>
              <w:t> </w:t>
            </w:r>
          </w:p>
        </w:tc>
      </w:tr>
      <w:tr w:rsidR="0034055A" w:rsidRPr="00EF535A" w:rsidTr="0034055A">
        <w:tc>
          <w:tcPr>
            <w:tcW w:w="496" w:type="dxa"/>
            <w:tcBorders>
              <w:top w:val="single" w:sz="8" w:space="0" w:color="auto"/>
              <w:left w:val="single" w:sz="8" w:space="0" w:color="auto"/>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4</w:t>
            </w:r>
          </w:p>
        </w:tc>
        <w:tc>
          <w:tcPr>
            <w:tcW w:w="3056" w:type="dxa"/>
            <w:tcBorders>
              <w:top w:val="single" w:sz="8" w:space="0" w:color="auto"/>
              <w:left w:val="nil"/>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Sprawdzenie podsypki (przymiarem liniowym lub metodą niwelacji)</w:t>
            </w:r>
          </w:p>
        </w:tc>
        <w:tc>
          <w:tcPr>
            <w:tcW w:w="2755" w:type="dxa"/>
            <w:tcBorders>
              <w:top w:val="single" w:sz="8" w:space="0" w:color="auto"/>
              <w:left w:val="nil"/>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Bieżąca kontrola w 10 punktach dziennej działki roboczej: grubości, spadków i cech konstrukcyjnych w porównaniu z dokumentacją projektową i specyfikacją</w:t>
            </w:r>
          </w:p>
        </w:tc>
        <w:tc>
          <w:tcPr>
            <w:tcW w:w="1765" w:type="dxa"/>
            <w:tcBorders>
              <w:top w:val="single" w:sz="8" w:space="0" w:color="auto"/>
              <w:left w:val="nil"/>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Wg pktu 5.6; odchyłki od projektowanej grubości ±1 cm</w:t>
            </w:r>
          </w:p>
        </w:tc>
      </w:tr>
      <w:tr w:rsidR="0034055A" w:rsidRPr="00EF535A" w:rsidTr="0034055A">
        <w:tc>
          <w:tcPr>
            <w:tcW w:w="496" w:type="dxa"/>
            <w:tcBorders>
              <w:top w:val="single" w:sz="8" w:space="0" w:color="auto"/>
              <w:left w:val="single" w:sz="8" w:space="0" w:color="auto"/>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3056" w:type="dxa"/>
            <w:tcBorders>
              <w:top w:val="single" w:sz="8" w:space="0" w:color="auto"/>
              <w:left w:val="nil"/>
              <w:bottom w:val="nil"/>
              <w:right w:val="nil"/>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Badania  wykonywania  nawierzchni  z</w:t>
            </w:r>
          </w:p>
        </w:tc>
        <w:tc>
          <w:tcPr>
            <w:tcW w:w="2755" w:type="dxa"/>
            <w:tcBorders>
              <w:top w:val="single" w:sz="8" w:space="0" w:color="auto"/>
              <w:left w:val="nil"/>
              <w:bottom w:val="nil"/>
              <w:right w:val="nil"/>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kostki</w:t>
            </w:r>
          </w:p>
        </w:tc>
        <w:tc>
          <w:tcPr>
            <w:tcW w:w="1765" w:type="dxa"/>
            <w:tcBorders>
              <w:top w:val="single" w:sz="8" w:space="0" w:color="auto"/>
              <w:left w:val="nil"/>
              <w:bottom w:val="nil"/>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w:t>
            </w:r>
          </w:p>
        </w:tc>
      </w:tr>
      <w:tr w:rsidR="0034055A" w:rsidRPr="00EF535A" w:rsidTr="0034055A">
        <w:tc>
          <w:tcPr>
            <w:tcW w:w="49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056" w:type="dxa"/>
            <w:tcBorders>
              <w:top w:val="single" w:sz="8" w:space="0" w:color="auto"/>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a)    zgodność z dokumentacją projektową</w:t>
            </w:r>
          </w:p>
        </w:tc>
        <w:tc>
          <w:tcPr>
            <w:tcW w:w="2755" w:type="dxa"/>
            <w:tcBorders>
              <w:top w:val="single" w:sz="8" w:space="0" w:color="auto"/>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Sukcesywnie na każdej działce roboczej</w:t>
            </w:r>
          </w:p>
        </w:tc>
        <w:tc>
          <w:tcPr>
            <w:tcW w:w="1765" w:type="dxa"/>
            <w:tcBorders>
              <w:top w:val="single" w:sz="8" w:space="0" w:color="auto"/>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w:t>
            </w:r>
          </w:p>
        </w:tc>
      </w:tr>
      <w:tr w:rsidR="0034055A" w:rsidRPr="00EF535A" w:rsidTr="0034055A">
        <w:tc>
          <w:tcPr>
            <w:tcW w:w="49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05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b)    położenie osi w planie (sprawdzone geodezyjnie)</w:t>
            </w:r>
          </w:p>
        </w:tc>
        <w:tc>
          <w:tcPr>
            <w:tcW w:w="275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Co 100 m i we wszystkich punktach charakterystycznych</w:t>
            </w:r>
          </w:p>
        </w:tc>
        <w:tc>
          <w:tcPr>
            <w:tcW w:w="176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Przesunięcie od osi projektowanej do 2 cm</w:t>
            </w:r>
          </w:p>
        </w:tc>
      </w:tr>
      <w:tr w:rsidR="0034055A" w:rsidRPr="00EF535A" w:rsidTr="0034055A">
        <w:tc>
          <w:tcPr>
            <w:tcW w:w="49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05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c)     rzędne wysokościowe (pomierzone instrumentem pomiarowym)</w:t>
            </w:r>
          </w:p>
        </w:tc>
        <w:tc>
          <w:tcPr>
            <w:tcW w:w="275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Co 25 m w osi i przy krawędziach oraz we wszystkich punktach charakterystycznych</w:t>
            </w:r>
          </w:p>
        </w:tc>
        <w:tc>
          <w:tcPr>
            <w:tcW w:w="176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Odchylenia: +1 cm; -2 cm</w:t>
            </w:r>
          </w:p>
        </w:tc>
      </w:tr>
      <w:tr w:rsidR="0034055A" w:rsidRPr="00EF535A" w:rsidTr="0034055A">
        <w:tc>
          <w:tcPr>
            <w:tcW w:w="49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05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d)    równość w profilu podłużnym łatą czterometrową)</w:t>
            </w:r>
          </w:p>
        </w:tc>
        <w:tc>
          <w:tcPr>
            <w:tcW w:w="275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Jw.</w:t>
            </w:r>
          </w:p>
        </w:tc>
        <w:tc>
          <w:tcPr>
            <w:tcW w:w="176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Nierówności do 8 mm</w:t>
            </w:r>
          </w:p>
        </w:tc>
      </w:tr>
      <w:tr w:rsidR="0034055A" w:rsidRPr="00EF535A" w:rsidTr="0034055A">
        <w:tc>
          <w:tcPr>
            <w:tcW w:w="49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05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e)     równość w przekroju poprzecznym (sprawdzona łatą profilową z poziomnicą i pomiarze prześwitu klinem cechowanym oraz przymiarem liniowym względnie metodą niwelacji)</w:t>
            </w:r>
          </w:p>
        </w:tc>
        <w:tc>
          <w:tcPr>
            <w:tcW w:w="275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Jw.</w:t>
            </w:r>
          </w:p>
        </w:tc>
        <w:tc>
          <w:tcPr>
            <w:tcW w:w="176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Prześwity między łatą a powierzchnią do  8 mm</w:t>
            </w:r>
          </w:p>
        </w:tc>
      </w:tr>
      <w:tr w:rsidR="0034055A" w:rsidRPr="00EF535A" w:rsidTr="0034055A">
        <w:tc>
          <w:tcPr>
            <w:tcW w:w="49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05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f)     spadki poprzeczne (sprawdzone metodą niwelacji)</w:t>
            </w:r>
          </w:p>
        </w:tc>
        <w:tc>
          <w:tcPr>
            <w:tcW w:w="275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Jw.</w:t>
            </w:r>
          </w:p>
        </w:tc>
        <w:tc>
          <w:tcPr>
            <w:tcW w:w="176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Odchyłki od dokumentacji projektowej do 0,3%</w:t>
            </w:r>
          </w:p>
        </w:tc>
      </w:tr>
      <w:tr w:rsidR="0034055A" w:rsidRPr="00EF535A" w:rsidTr="0034055A">
        <w:tc>
          <w:tcPr>
            <w:tcW w:w="49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05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g)     szerokość nawierzchni (sprawdzona przymiarem liniowym)</w:t>
            </w:r>
          </w:p>
        </w:tc>
        <w:tc>
          <w:tcPr>
            <w:tcW w:w="275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Jw.</w:t>
            </w:r>
          </w:p>
        </w:tc>
        <w:tc>
          <w:tcPr>
            <w:tcW w:w="176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Odchyłki od szerokości projektowanej do  ±5 cm</w:t>
            </w:r>
          </w:p>
        </w:tc>
      </w:tr>
      <w:tr w:rsidR="0034055A" w:rsidRPr="00EF535A" w:rsidTr="0034055A">
        <w:tc>
          <w:tcPr>
            <w:tcW w:w="496" w:type="dxa"/>
            <w:tcBorders>
              <w:top w:val="nil"/>
              <w:left w:val="single" w:sz="8" w:space="0" w:color="auto"/>
              <w:bottom w:val="nil"/>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05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h)    szerokość i głębokość wypełnienia spoin i szczelin (oględziny i pomiar przymiarem liniowym po wykruszeniu dług. 10 cm)</w:t>
            </w:r>
          </w:p>
        </w:tc>
        <w:tc>
          <w:tcPr>
            <w:tcW w:w="275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 20 punktach charakterystycznych dziennej działki roboczej</w:t>
            </w:r>
          </w:p>
        </w:tc>
        <w:tc>
          <w:tcPr>
            <w:tcW w:w="176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Wg pktu 5.7.5</w:t>
            </w:r>
          </w:p>
        </w:tc>
      </w:tr>
      <w:tr w:rsidR="0034055A" w:rsidRPr="00EF535A" w:rsidTr="0034055A">
        <w:tc>
          <w:tcPr>
            <w:tcW w:w="496" w:type="dxa"/>
            <w:tcBorders>
              <w:top w:val="nil"/>
              <w:left w:val="single" w:sz="8" w:space="0" w:color="auto"/>
              <w:bottom w:val="single" w:sz="8" w:space="0" w:color="auto"/>
              <w:right w:val="nil"/>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05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i)      sprawdzenie koloru kostek i desenia ich ułożenia</w:t>
            </w:r>
          </w:p>
        </w:tc>
        <w:tc>
          <w:tcPr>
            <w:tcW w:w="275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Kontrola bieżąca</w:t>
            </w:r>
          </w:p>
        </w:tc>
        <w:tc>
          <w:tcPr>
            <w:tcW w:w="1765"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Wg dokumentacji projektowej lub decyzji Inżyniera</w:t>
            </w:r>
          </w:p>
        </w:tc>
      </w:tr>
    </w:tbl>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6.4. Badania wykonanych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Zakres badań i pomiarów wykonanej nawierzchni z betonowej kostki brukowej podano w tablicy 3.</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Tablica 3. Badania i pomiary po ukończeniu budowy nawierzchni</w:t>
      </w:r>
    </w:p>
    <w:tbl>
      <w:tblPr>
        <w:tblW w:w="0" w:type="auto"/>
        <w:shd w:val="clear" w:color="auto" w:fill="DDDDDD"/>
        <w:tblCellMar>
          <w:left w:w="0" w:type="dxa"/>
          <w:right w:w="0" w:type="dxa"/>
        </w:tblCellMar>
        <w:tblLook w:val="04A0"/>
      </w:tblPr>
      <w:tblGrid>
        <w:gridCol w:w="496"/>
        <w:gridCol w:w="3507"/>
        <w:gridCol w:w="3507"/>
      </w:tblGrid>
      <w:tr w:rsidR="0034055A" w:rsidRPr="00EF535A" w:rsidTr="0034055A">
        <w:tc>
          <w:tcPr>
            <w:tcW w:w="496" w:type="dxa"/>
            <w:tcBorders>
              <w:top w:val="single" w:sz="8" w:space="0" w:color="auto"/>
              <w:left w:val="single" w:sz="8" w:space="0" w:color="auto"/>
              <w:bottom w:val="double" w:sz="6"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Lp.</w:t>
            </w:r>
          </w:p>
        </w:tc>
        <w:tc>
          <w:tcPr>
            <w:tcW w:w="3507" w:type="dxa"/>
            <w:tcBorders>
              <w:top w:val="single" w:sz="8" w:space="0" w:color="auto"/>
              <w:left w:val="nil"/>
              <w:bottom w:val="double" w:sz="6"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Wyszczególnienie badań i pomiarów</w:t>
            </w:r>
          </w:p>
        </w:tc>
        <w:tc>
          <w:tcPr>
            <w:tcW w:w="3507" w:type="dxa"/>
            <w:tcBorders>
              <w:top w:val="single" w:sz="8" w:space="0" w:color="auto"/>
              <w:left w:val="nil"/>
              <w:bottom w:val="double" w:sz="6"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Sposób sprawdzenia</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3507"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Sprawdzenie wyglądu zewnętrznego nawierzchni, krawężników, obrzeży, ścieków</w:t>
            </w:r>
          </w:p>
        </w:tc>
        <w:tc>
          <w:tcPr>
            <w:tcW w:w="3507"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Wizualne sprawdzenie jednorodności wyglądu, prawidłowości desenia, kolorów kostek, spękań, plam, deformacji, wy-kruszeń, spoin i szczelin</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3507"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Badanie położenia osi nawierzchni w planie</w:t>
            </w:r>
          </w:p>
        </w:tc>
        <w:tc>
          <w:tcPr>
            <w:tcW w:w="3507"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Geodezyjne sprawdzenie położenia osi co 25 m i w punktach charakterystycznych (dopuszczalne przesunięcia wg tab. 2, lp. 5b)</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3507"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Rzędne wysokościowe, równość podłużna i poprzeczna, spadki poprzeczne i szerokość</w:t>
            </w:r>
          </w:p>
        </w:tc>
        <w:tc>
          <w:tcPr>
            <w:tcW w:w="3507"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Co 25 m i we wszystkich  punktach charakterystycznych (wg metod i do-puszczalnych wartości podanych w tab. 2, lp. od 5c do 5g)</w:t>
            </w:r>
          </w:p>
        </w:tc>
      </w:tr>
      <w:tr w:rsidR="0034055A" w:rsidRPr="00EF535A" w:rsidTr="0034055A">
        <w:tc>
          <w:tcPr>
            <w:tcW w:w="496" w:type="dxa"/>
            <w:tcBorders>
              <w:top w:val="nil"/>
              <w:left w:val="single" w:sz="8" w:space="0" w:color="auto"/>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4</w:t>
            </w:r>
          </w:p>
        </w:tc>
        <w:tc>
          <w:tcPr>
            <w:tcW w:w="3507"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Rozmieszczenie i szerokość spoin i szczelin w nawierzchni, pomiędzy krawężnikami, obrzeżami, ściekami oraz wypełnienie spoin i szczelin</w:t>
            </w:r>
          </w:p>
        </w:tc>
        <w:tc>
          <w:tcPr>
            <w:tcW w:w="3507" w:type="dxa"/>
            <w:tcBorders>
              <w:top w:val="nil"/>
              <w:left w:val="nil"/>
              <w:bottom w:val="single" w:sz="8" w:space="0" w:color="auto"/>
              <w:right w:val="single" w:sz="8" w:space="0" w:color="auto"/>
            </w:tcBorders>
            <w:shd w:val="clear" w:color="auto" w:fill="DDDDDD"/>
            <w:noWrap/>
            <w:tcMar>
              <w:top w:w="0" w:type="dxa"/>
              <w:left w:w="70" w:type="dxa"/>
              <w:bottom w:w="0" w:type="dxa"/>
              <w:right w:w="70"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Wg pktu 5.5 i 5.7.5</w:t>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90" w:name="_Toc213224432"/>
      <w:bookmarkStart w:id="1291" w:name="_Toc107903642"/>
      <w:bookmarkEnd w:id="1290"/>
      <w:r w:rsidRPr="007078D3">
        <w:rPr>
          <w:rFonts w:ascii="Times New Roman" w:hAnsi="Times New Roman"/>
          <w:caps/>
          <w:color w:val="000000"/>
          <w:szCs w:val="20"/>
        </w:rPr>
        <w:t>7. </w:t>
      </w:r>
      <w:bookmarkEnd w:id="1291"/>
      <w:r w:rsidRPr="007078D3">
        <w:rPr>
          <w:rFonts w:ascii="Times New Roman" w:hAnsi="Times New Roman"/>
          <w:caps/>
          <w:color w:val="000000"/>
          <w:szCs w:val="20"/>
        </w:rPr>
        <w:t>OBMIAR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7.1. Ogólne zasady obmiaru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obmiaru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7.</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7.2. Jednostka obmiarowa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Jednostką obmiarową jest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(metr kwadratowy) wykonanej nawierzchni z betonowej kostki brukowej.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Jednostki obmiarowe robót towarzyszących budowie nawierzchni z betonowej kostki brukowej (podbudowa, obramowanie itp.) są ustalone w odpowiednich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wymienionych w pktach 5.4 i 5.5.</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92" w:name="_Toc213224433"/>
      <w:bookmarkStart w:id="1293" w:name="_Toc107903643"/>
      <w:bookmarkEnd w:id="1292"/>
      <w:r w:rsidRPr="007078D3">
        <w:rPr>
          <w:rFonts w:ascii="Times New Roman" w:hAnsi="Times New Roman"/>
          <w:caps/>
          <w:color w:val="000000"/>
          <w:szCs w:val="20"/>
        </w:rPr>
        <w:t>8. </w:t>
      </w:r>
      <w:bookmarkEnd w:id="1293"/>
      <w:r w:rsidRPr="007078D3">
        <w:rPr>
          <w:rFonts w:ascii="Times New Roman" w:hAnsi="Times New Roman"/>
          <w:caps/>
          <w:color w:val="000000"/>
          <w:szCs w:val="20"/>
        </w:rPr>
        <w:t>ODBIÓR ROBÓT</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8.1. Ogólne zasady odbioru robót</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odbioru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8.</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Roboty uznaje się za wykonane zgodnie z dokumentacją projektową, ST i wymaganiami Inżyniera, jeżeli wszystkie pomiary i badania z zachowaniem tolerancji według pktu 6 dały wyniki pozytywne.</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8.2. Odbiór robót zanikających i ulegających  zakryciu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Odbiorowi robót zanikających i ulegających zakryciu podlegają:</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przygotowanie podłoża i wykonanie  koryta,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ewentualnie wykonanie podbudowy,</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ewentualnie wykonanie ław (podsypek) pod krawężniki, obrzeża, ścieki,</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wykonanie podsypki pod nawierzchnię,</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ewentualnie wypełnienie dolnej części szczelin dylatacyjnych.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Odbiór tych robót powinien  być zgodny z wymaganiami pktu 8.2 D-M-00.00.00 „Wymagania ogólne” [5] oraz niniejszej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w:t>
      </w:r>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94" w:name="_Toc213224434"/>
      <w:bookmarkStart w:id="1295" w:name="_Toc107903644"/>
      <w:bookmarkEnd w:id="1294"/>
      <w:bookmarkEnd w:id="1295"/>
      <w:r w:rsidRPr="007078D3">
        <w:rPr>
          <w:rFonts w:ascii="Times New Roman" w:hAnsi="Times New Roman"/>
          <w:caps/>
          <w:color w:val="000000"/>
          <w:szCs w:val="20"/>
        </w:rPr>
        <w:t>9. PODSTAWA PŁATNOŚCI</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9.1. Ogólne ustalenia dotyczące podstawy płatności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ustalenia dotyczące podstawy płatności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[5] pkt 9.</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9.2. Cena jednostki obmiarowej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Cena wykonania 1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nawierzchni z betonowej kostki brukowej obejmuje: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prace pomiarowe i roboty przygotowawcze,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oznakowanie robót,</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przygotowanie podłoża i wykonanie koryta,</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dostarczenie materiałów i sprzętu,</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wykonanie podsypki,</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ustalenie kształtu, koloru i desenia kostek,</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ułożenie i ubicie kostek,</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wypełnienie spoin i ew. szczelin dylatacyjnych w nawierzchni,</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pielęgnację nawierzchni,</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przeprowadzenie pomiarów i badań  wymaganych w niniejszej specyfikacji technicznej,</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odwiezienie sprzętu.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Cena wykonania 1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xml:space="preserve"> nawierzchni z betonowej kostki brukowej nie obejmuje robót towarzyszących (jak: podbudowa, obramowanie itp.), które powinny być ujęte w innych pozycjach kosztorysowych, a których zakres jest określony przez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wymienione w pktach 5.4 i 5.5.</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bookmarkStart w:id="1296" w:name="_Toc421940505"/>
      <w:r w:rsidRPr="007078D3">
        <w:rPr>
          <w:rFonts w:ascii="Times New Roman" w:hAnsi="Times New Roman"/>
          <w:color w:val="000000"/>
          <w:szCs w:val="20"/>
        </w:rPr>
        <w:t>9.3. Sposób rozliczenia robót tymczasowych i prac towarzyszących</w:t>
      </w:r>
      <w:bookmarkEnd w:id="1296"/>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Cena wykonania robót określonych niniejszą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obejmuje:</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roboty tymczasowe, które są potrzebne do wykonania robót podstawowych, ale nie są przekazywane Zamawiającemu i są usuwane po wykonaniu robót podstawowych,</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lastRenderedPageBreak/>
        <w:t>-      prace towarzyszące, które są niezbędne do wykonania robót podstawowych, niezaliczane do robót tymczasowych, jak geodezyjne wytyczenie robót itd.</w:t>
      </w:r>
      <w:bookmarkStart w:id="1297" w:name="_Toc107903645"/>
      <w:bookmarkEnd w:id="1297"/>
    </w:p>
    <w:p w:rsidR="0034055A" w:rsidRPr="007078D3" w:rsidRDefault="0034055A" w:rsidP="00ED04E8">
      <w:pPr>
        <w:pStyle w:val="Nagwek1"/>
        <w:spacing w:before="0" w:beforeAutospacing="0" w:after="0" w:afterAutospacing="0"/>
        <w:jc w:val="both"/>
        <w:rPr>
          <w:rFonts w:ascii="Times New Roman" w:hAnsi="Times New Roman"/>
          <w:caps/>
          <w:color w:val="000000"/>
          <w:szCs w:val="20"/>
        </w:rPr>
      </w:pPr>
      <w:bookmarkStart w:id="1298" w:name="_Toc213224435"/>
      <w:r w:rsidRPr="007078D3">
        <w:rPr>
          <w:rFonts w:ascii="Times New Roman" w:hAnsi="Times New Roman"/>
          <w:caps/>
          <w:color w:val="000000"/>
          <w:szCs w:val="20"/>
        </w:rPr>
        <w:t>10. </w:t>
      </w:r>
      <w:bookmarkEnd w:id="1298"/>
      <w:r w:rsidRPr="007078D3">
        <w:rPr>
          <w:rFonts w:ascii="Times New Roman" w:hAnsi="Times New Roman"/>
          <w:caps/>
          <w:color w:val="000000"/>
          <w:szCs w:val="20"/>
        </w:rPr>
        <w:t>PRZEPISY ZWIĄZANE</w:t>
      </w:r>
    </w:p>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10.1.  Normy</w:t>
      </w:r>
    </w:p>
    <w:tbl>
      <w:tblPr>
        <w:tblW w:w="0" w:type="auto"/>
        <w:shd w:val="clear" w:color="auto" w:fill="DDDDDD"/>
        <w:tblCellMar>
          <w:left w:w="0" w:type="dxa"/>
          <w:right w:w="0" w:type="dxa"/>
        </w:tblCellMar>
        <w:tblLook w:val="04A0"/>
      </w:tblPr>
      <w:tblGrid>
        <w:gridCol w:w="496"/>
        <w:gridCol w:w="1984"/>
        <w:gridCol w:w="8080"/>
      </w:tblGrid>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1.</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PN-EN 197-1:2002</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Cement. Część 1: Skład, wymagania i kryteria zgodności dotyczące cementu powszechnego użytku</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2.</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PN-EN 1338:2005</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Betonowe kostki brukowe. Wymagania i metody badań</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3.</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PN-EN 13242:2004</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Kruszywa do niezwiązanych i związanych hydraulicznie materiałów stosowanych w obiektach budowlanych i budownictwie drogowym (W okresie przejściowym można stosować PN-B-11111:1996 Kruszywa mineralne. Kruszywa naturalne do nawierzchni drogowych. Żwir i mieszanka, PN-B-11112:1996 Kruszywa mineralne. Kruszywo łamane do nawierzchni drogowych, PN-B-11113:1996 Kruszywa mineralne. Kruszywa naturalne do nawierzchni drogowych. Piasek)</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4.</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PN-EN 1008:2004</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Woda zarobowa do betonu. Specyfikacja pobierania próbek, badanie i ocena przydatności wody zarobowej do betonu, w tym wody odzyskanej z procesów produkcji betonu</w:t>
            </w:r>
          </w:p>
        </w:tc>
      </w:tr>
    </w:tbl>
    <w:p w:rsidR="0034055A" w:rsidRPr="007078D3" w:rsidRDefault="0034055A"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10.2. Ogólne specyfikacje techniczne (</w:t>
      </w:r>
      <w:r w:rsidR="00985629">
        <w:rPr>
          <w:rFonts w:ascii="Times New Roman" w:hAnsi="Times New Roman"/>
          <w:color w:val="000000"/>
          <w:szCs w:val="20"/>
        </w:rPr>
        <w:t>SST</w:t>
      </w:r>
      <w:r w:rsidRPr="007078D3">
        <w:rPr>
          <w:rFonts w:ascii="Times New Roman" w:hAnsi="Times New Roman"/>
          <w:color w:val="000000"/>
          <w:szCs w:val="20"/>
        </w:rPr>
        <w:t>)</w:t>
      </w:r>
    </w:p>
    <w:tbl>
      <w:tblPr>
        <w:tblW w:w="0" w:type="auto"/>
        <w:shd w:val="clear" w:color="auto" w:fill="DDDDDD"/>
        <w:tblCellMar>
          <w:left w:w="0" w:type="dxa"/>
          <w:right w:w="0" w:type="dxa"/>
        </w:tblCellMar>
        <w:tblLook w:val="04A0"/>
      </w:tblPr>
      <w:tblGrid>
        <w:gridCol w:w="496"/>
        <w:gridCol w:w="1984"/>
        <w:gridCol w:w="8080"/>
      </w:tblGrid>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5.</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D-M-00.00.00</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Wymagania ogólne</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6.</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D-04.01.01¸04.03.01</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Dolne warstwy podbudów oraz oczyszczenie i skropienie</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7.</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D-04.04.00¸04.04.03</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Podbudowy z kruszywa stabilizowanego mechanicznie</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8.</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D-04.04.04</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Podbudowa z tłucznia kamiennego</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9.</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D-04.05.00¸04.05.04</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Podbudowy i ulepszone podłoża z gruntów lub kruszyw stabilizowanych spoiwami hydraulicznymi</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10.</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D-04.06.01</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Podbudowa z chudego betonu</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11.</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D-04.06.01b</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Podbudowa z betonu cementowego</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12.</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D-05.03.04a</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Wypełnianie szczelin w nawierzchni z betonu cementowego</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13.</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D-08.01.01a</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Ustawianie krawężników betonowych</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14.</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D-08.01.02a</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Ustawianie krawężników kamiennych</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15.</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D-08.03.01</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Betonowe obrzeża chodnikowe</w:t>
            </w:r>
          </w:p>
        </w:tc>
      </w:tr>
      <w:tr w:rsidR="0034055A" w:rsidRPr="007078D3" w:rsidTr="00EF535A">
        <w:tc>
          <w:tcPr>
            <w:tcW w:w="496" w:type="dxa"/>
            <w:shd w:val="clear" w:color="auto" w:fill="DDDDDD"/>
            <w:tcMar>
              <w:top w:w="0" w:type="dxa"/>
              <w:left w:w="70" w:type="dxa"/>
              <w:bottom w:w="0" w:type="dxa"/>
              <w:right w:w="70" w:type="dxa"/>
            </w:tcMar>
            <w:hideMark/>
          </w:tcPr>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16.</w:t>
            </w:r>
          </w:p>
        </w:tc>
        <w:tc>
          <w:tcPr>
            <w:tcW w:w="1984"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D-08.05.00</w:t>
            </w:r>
          </w:p>
        </w:tc>
        <w:tc>
          <w:tcPr>
            <w:tcW w:w="8080" w:type="dxa"/>
            <w:shd w:val="clear" w:color="auto" w:fill="DDDDDD"/>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Ścieki</w:t>
            </w:r>
          </w:p>
        </w:tc>
      </w:tr>
    </w:tbl>
    <w:p w:rsidR="0034055A" w:rsidRPr="007078D3" w:rsidRDefault="0034055A" w:rsidP="00ED04E8">
      <w:pPr>
        <w:rPr>
          <w:rFonts w:ascii="Times New Roman" w:hAnsi="Times New Roman" w:cs="Times New Roman"/>
          <w:szCs w:val="20"/>
        </w:rPr>
      </w:pPr>
      <w:r w:rsidRPr="007078D3">
        <w:rPr>
          <w:rFonts w:ascii="Times New Roman" w:hAnsi="Times New Roman" w:cs="Times New Roman"/>
          <w:b/>
          <w:bCs/>
          <w:caps/>
          <w:color w:val="000000"/>
          <w:szCs w:val="20"/>
          <w:shd w:val="clear" w:color="auto" w:fill="DDDDDD"/>
        </w:rPr>
        <w:br w:type="textWrapping" w:clear="all"/>
      </w:r>
    </w:p>
    <w:p w:rsidR="0034055A" w:rsidRPr="007078D3" w:rsidRDefault="0034055A" w:rsidP="00ED04E8">
      <w:pPr>
        <w:pStyle w:val="Nagwek1"/>
        <w:spacing w:before="0" w:beforeAutospacing="0" w:after="0" w:afterAutospacing="0"/>
        <w:jc w:val="center"/>
        <w:rPr>
          <w:rFonts w:ascii="Times New Roman" w:hAnsi="Times New Roman"/>
          <w:caps/>
          <w:color w:val="000000"/>
          <w:szCs w:val="20"/>
        </w:rPr>
      </w:pPr>
      <w:bookmarkStart w:id="1299" w:name="_Toc213224436"/>
      <w:bookmarkStart w:id="1300" w:name="_Toc107903646"/>
      <w:bookmarkEnd w:id="1299"/>
      <w:r w:rsidRPr="007078D3">
        <w:rPr>
          <w:rFonts w:ascii="Times New Roman" w:hAnsi="Times New Roman"/>
          <w:caps/>
          <w:color w:val="000000"/>
          <w:szCs w:val="20"/>
        </w:rPr>
        <w:t>11. ZAŁĄCZNIKI</w:t>
      </w:r>
      <w:bookmarkEnd w:id="1300"/>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ZAŁĄCZNIK 1</w:t>
      </w:r>
    </w:p>
    <w:p w:rsidR="0034055A" w:rsidRPr="007078D3" w:rsidRDefault="0034055A" w:rsidP="00ED04E8">
      <w:pPr>
        <w:jc w:val="right"/>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Przykłady kształtów betonowej kostki brukowej</w:t>
      </w:r>
    </w:p>
    <w:p w:rsidR="0034055A" w:rsidRPr="007078D3" w:rsidRDefault="0034055A" w:rsidP="00ED04E8">
      <w:pPr>
        <w:jc w:val="cente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jc w:val="cente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Najczęściej spotykane kształty kostek i sposoby ich układania</w:t>
      </w:r>
      <w:r w:rsidRPr="007078D3">
        <w:rPr>
          <w:rFonts w:ascii="Times New Roman" w:hAnsi="Times New Roman" w:cs="Times New Roman"/>
          <w:color w:val="000000"/>
          <w:szCs w:val="20"/>
        </w:rPr>
        <w:br/>
        <w:t>(wg W. Brylicki: Kostka brukowa z betonu wibroprasowanego, 1998)</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3987210" cy="1980867"/>
            <wp:effectExtent l="0" t="0" r="0" b="0"/>
            <wp:docPr id="1563779536"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95832" cy="1985151"/>
                    </a:xfrm>
                    <a:prstGeom prst="rect">
                      <a:avLst/>
                    </a:prstGeom>
                    <a:noFill/>
                    <a:ln>
                      <a:noFill/>
                    </a:ln>
                  </pic:spPr>
                </pic:pic>
              </a:graphicData>
            </a:graphic>
          </wp:inline>
        </w:drawing>
      </w:r>
    </w:p>
    <w:p w:rsidR="0034055A" w:rsidRPr="007078D3" w:rsidRDefault="0034055A" w:rsidP="00ED04E8">
      <w:pPr>
        <w:jc w:val="cente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jc w:val="cente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Podstawowe kształty kostek (wg W. Grzybowska, P. Zieliński: Nawierzchnie kostek betonowych w świetle doświadczeń zagranicznych, Drogownictwo 5/1999)</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Oznaczenia:  (1) - typ kostki charakterystyczny dla wiązań w jodełkę,</w:t>
      </w:r>
    </w:p>
    <w:p w:rsidR="0034055A" w:rsidRPr="007078D3" w:rsidRDefault="0034055A" w:rsidP="00ED04E8">
      <w:pPr>
        <w:ind w:left="1639" w:hanging="283"/>
        <w:rPr>
          <w:rFonts w:ascii="Times New Roman" w:hAnsi="Times New Roman" w:cs="Times New Roman"/>
          <w:color w:val="000000"/>
          <w:szCs w:val="20"/>
        </w:rPr>
      </w:pPr>
      <w:r w:rsidRPr="007078D3">
        <w:rPr>
          <w:rFonts w:ascii="Times New Roman" w:hAnsi="Times New Roman" w:cs="Times New Roman"/>
          <w:color w:val="000000"/>
          <w:szCs w:val="20"/>
        </w:rPr>
        <w:t>(2)  - typ kostki odpowiedni tylko dla wiązań w rzędy proste.</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Kształtki zacienione - typ kostki zapewniający dobry rozkład obciążenia.</w:t>
      </w:r>
    </w:p>
    <w:p w:rsidR="0034055A" w:rsidRPr="007078D3" w:rsidRDefault="0034055A" w:rsidP="00ED04E8">
      <w:pPr>
        <w:jc w:val="right"/>
        <w:rPr>
          <w:rFonts w:ascii="Times New Roman" w:hAnsi="Times New Roman" w:cs="Times New Roman"/>
          <w:color w:val="000000"/>
          <w:szCs w:val="20"/>
        </w:rPr>
      </w:pPr>
      <w:r w:rsidRPr="007078D3">
        <w:rPr>
          <w:rFonts w:ascii="Times New Roman" w:hAnsi="Times New Roman" w:cs="Times New Roman"/>
          <w:color w:val="000000"/>
          <w:szCs w:val="20"/>
        </w:rPr>
        <w:t> </w:t>
      </w:r>
    </w:p>
    <w:tbl>
      <w:tblPr>
        <w:tblW w:w="0" w:type="auto"/>
        <w:shd w:val="clear" w:color="auto" w:fill="DDDDDD"/>
        <w:tblCellMar>
          <w:left w:w="0" w:type="dxa"/>
          <w:right w:w="0" w:type="dxa"/>
        </w:tblCellMar>
        <w:tblLook w:val="04A0"/>
      </w:tblPr>
      <w:tblGrid>
        <w:gridCol w:w="1630"/>
        <w:gridCol w:w="7172"/>
      </w:tblGrid>
      <w:tr w:rsidR="0034055A" w:rsidRPr="007078D3" w:rsidTr="0034055A">
        <w:tc>
          <w:tcPr>
            <w:tcW w:w="1630" w:type="dxa"/>
            <w:shd w:val="clear" w:color="auto" w:fill="DDDDDD"/>
            <w:noWrap/>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lastRenderedPageBreak/>
              <w:t> </w:t>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Kategoria A</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 </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 </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 </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 </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Kategoria B</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 </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 </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 </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 </w:t>
            </w:r>
          </w:p>
          <w:p w:rsidR="0034055A" w:rsidRPr="007078D3" w:rsidRDefault="0034055A" w:rsidP="00ED04E8">
            <w:pPr>
              <w:jc w:val="center"/>
              <w:rPr>
                <w:rFonts w:ascii="Times New Roman" w:hAnsi="Times New Roman" w:cs="Times New Roman"/>
                <w:szCs w:val="20"/>
              </w:rPr>
            </w:pPr>
            <w:r w:rsidRPr="007078D3">
              <w:rPr>
                <w:rFonts w:ascii="Times New Roman" w:hAnsi="Times New Roman" w:cs="Times New Roman"/>
                <w:szCs w:val="20"/>
              </w:rPr>
              <w:t>Kategoria C</w:t>
            </w:r>
          </w:p>
        </w:tc>
        <w:tc>
          <w:tcPr>
            <w:tcW w:w="5880" w:type="dxa"/>
            <w:shd w:val="clear" w:color="auto" w:fill="DDDDDD"/>
            <w:noWrap/>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4465320" cy="2470150"/>
                  <wp:effectExtent l="0" t="0" r="0" b="0"/>
                  <wp:docPr id="1133724073"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65320" cy="2470150"/>
                          </a:xfrm>
                          <a:prstGeom prst="rect">
                            <a:avLst/>
                          </a:prstGeom>
                          <a:noFill/>
                          <a:ln>
                            <a:noFill/>
                          </a:ln>
                        </pic:spPr>
                      </pic:pic>
                    </a:graphicData>
                  </a:graphic>
                </wp:inline>
              </w:drawing>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tbl>
      <w:tblPr>
        <w:tblW w:w="0" w:type="auto"/>
        <w:shd w:val="clear" w:color="auto" w:fill="DDDDDD"/>
        <w:tblCellMar>
          <w:left w:w="0" w:type="dxa"/>
          <w:right w:w="0" w:type="dxa"/>
        </w:tblCellMar>
        <w:tblLook w:val="04A0"/>
      </w:tblPr>
      <w:tblGrid>
        <w:gridCol w:w="1488"/>
        <w:gridCol w:w="6022"/>
      </w:tblGrid>
      <w:tr w:rsidR="0034055A" w:rsidRPr="007078D3" w:rsidTr="0034055A">
        <w:tc>
          <w:tcPr>
            <w:tcW w:w="1488" w:type="dxa"/>
            <w:shd w:val="clear" w:color="auto" w:fill="DDDDDD"/>
            <w:noWrap/>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Kategoria  A:</w:t>
            </w:r>
          </w:p>
        </w:tc>
        <w:tc>
          <w:tcPr>
            <w:tcW w:w="6022" w:type="dxa"/>
            <w:shd w:val="clear" w:color="auto" w:fill="DDDDDD"/>
            <w:noWrap/>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kostki zazębiające się wzajemnie na wszystkich czterech bocznych ściankach - spoiny nie rozszerzają się pod ruchem</w:t>
            </w:r>
          </w:p>
        </w:tc>
      </w:tr>
      <w:tr w:rsidR="0034055A" w:rsidRPr="007078D3" w:rsidTr="0034055A">
        <w:tc>
          <w:tcPr>
            <w:tcW w:w="1488" w:type="dxa"/>
            <w:shd w:val="clear" w:color="auto" w:fill="DDDDDD"/>
            <w:noWrap/>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Kategoria  B:</w:t>
            </w:r>
          </w:p>
        </w:tc>
        <w:tc>
          <w:tcPr>
            <w:tcW w:w="6022" w:type="dxa"/>
            <w:shd w:val="clear" w:color="auto" w:fill="DDDDDD"/>
            <w:noWrap/>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kostki zazębiające się wzajemnie na dwóch bocznych ściankach                  - utrudnione rozszerzanie spoin równolegle do osi podłużnej elementów</w:t>
            </w:r>
          </w:p>
        </w:tc>
      </w:tr>
      <w:tr w:rsidR="0034055A" w:rsidRPr="007078D3" w:rsidTr="0034055A">
        <w:tc>
          <w:tcPr>
            <w:tcW w:w="1488" w:type="dxa"/>
            <w:shd w:val="clear" w:color="auto" w:fill="DDDDDD"/>
            <w:noWrap/>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Kategoria  C:</w:t>
            </w:r>
          </w:p>
        </w:tc>
        <w:tc>
          <w:tcPr>
            <w:tcW w:w="6022" w:type="dxa"/>
            <w:shd w:val="clear" w:color="auto" w:fill="DDDDDD"/>
            <w:noWrap/>
            <w:tcMar>
              <w:top w:w="0" w:type="dxa"/>
              <w:left w:w="70" w:type="dxa"/>
              <w:bottom w:w="0" w:type="dxa"/>
              <w:right w:w="70"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kostki nie zazębiają się wzajemnie - wymagana jest duża dokładność układania kostek o jednakowych wymiarach</w:t>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ZAŁĄCZNIK 2</w:t>
      </w:r>
    </w:p>
    <w:p w:rsidR="0034055A" w:rsidRPr="007078D3" w:rsidRDefault="0034055A" w:rsidP="00ED04E8">
      <w:pPr>
        <w:jc w:val="right"/>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Zalecane grubości betonowej kostki brukowej</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(wg: A. Becher, Z. Gustowski – Jak wykonać trwałą nawierzchnię z kostki brukowej, „Materiały Budowlane” nr 5/2005)</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 zależności od rodzaju zastosowania kostek w nawierzchni, można przyjmować następującą minimalną jej grubość:</w:t>
      </w:r>
    </w:p>
    <w:tbl>
      <w:tblPr>
        <w:tblW w:w="7599" w:type="dxa"/>
        <w:shd w:val="clear" w:color="auto" w:fill="DDDDDD"/>
        <w:tblCellMar>
          <w:left w:w="0" w:type="dxa"/>
          <w:right w:w="0" w:type="dxa"/>
        </w:tblCellMar>
        <w:tblLook w:val="04A0"/>
      </w:tblPr>
      <w:tblGrid>
        <w:gridCol w:w="1384"/>
        <w:gridCol w:w="6215"/>
      </w:tblGrid>
      <w:tr w:rsidR="0034055A" w:rsidRPr="007078D3" w:rsidTr="0034055A">
        <w:tc>
          <w:tcPr>
            <w:tcW w:w="1384" w:type="dxa"/>
            <w:shd w:val="clear" w:color="auto" w:fill="DDDDDD"/>
            <w:noWrap/>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a) 4 cm</w:t>
            </w:r>
          </w:p>
        </w:tc>
        <w:tc>
          <w:tcPr>
            <w:tcW w:w="6215" w:type="dxa"/>
            <w:shd w:val="clear" w:color="auto" w:fill="DDDDDD"/>
            <w:noWrap/>
            <w:tcMar>
              <w:top w:w="0" w:type="dxa"/>
              <w:left w:w="108" w:type="dxa"/>
              <w:bottom w:w="0" w:type="dxa"/>
              <w:right w:w="108" w:type="dxa"/>
            </w:tcMar>
            <w:hideMark/>
          </w:tcPr>
          <w:p w:rsidR="0034055A" w:rsidRPr="007078D3" w:rsidRDefault="0034055A" w:rsidP="00ED04E8">
            <w:pPr>
              <w:ind w:left="351" w:hanging="351"/>
              <w:rPr>
                <w:rFonts w:ascii="Times New Roman" w:hAnsi="Times New Roman" w:cs="Times New Roman"/>
                <w:szCs w:val="20"/>
              </w:rPr>
            </w:pPr>
            <w:r w:rsidRPr="007078D3">
              <w:rPr>
                <w:rFonts w:ascii="Times New Roman" w:hAnsi="Times New Roman" w:cs="Times New Roman"/>
                <w:szCs w:val="20"/>
              </w:rPr>
              <w:t>–        w przypadku ruchu pieszego (np. na przydomowych chodnikach, tarasach),</w:t>
            </w:r>
          </w:p>
        </w:tc>
      </w:tr>
      <w:tr w:rsidR="0034055A" w:rsidRPr="007078D3" w:rsidTr="0034055A">
        <w:tc>
          <w:tcPr>
            <w:tcW w:w="1384" w:type="dxa"/>
            <w:shd w:val="clear" w:color="auto" w:fill="DDDDDD"/>
            <w:noWrap/>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b) 6 lub  7 cm</w:t>
            </w:r>
          </w:p>
        </w:tc>
        <w:tc>
          <w:tcPr>
            <w:tcW w:w="6215" w:type="dxa"/>
            <w:shd w:val="clear" w:color="auto" w:fill="DDDDDD"/>
            <w:noWrap/>
            <w:tcMar>
              <w:top w:w="0" w:type="dxa"/>
              <w:left w:w="108" w:type="dxa"/>
              <w:bottom w:w="0" w:type="dxa"/>
              <w:right w:w="108" w:type="dxa"/>
            </w:tcMar>
            <w:hideMark/>
          </w:tcPr>
          <w:p w:rsidR="0034055A" w:rsidRPr="007078D3" w:rsidRDefault="0034055A" w:rsidP="00ED04E8">
            <w:pPr>
              <w:ind w:left="351" w:hanging="351"/>
              <w:rPr>
                <w:rFonts w:ascii="Times New Roman" w:hAnsi="Times New Roman" w:cs="Times New Roman"/>
                <w:szCs w:val="20"/>
              </w:rPr>
            </w:pPr>
            <w:r w:rsidRPr="007078D3">
              <w:rPr>
                <w:rFonts w:ascii="Times New Roman" w:hAnsi="Times New Roman" w:cs="Times New Roman"/>
                <w:szCs w:val="20"/>
              </w:rPr>
              <w:t>–        w przypadku ruchu pieszego i pojazdów niemechanicznych oraz mało intensywnego ruchu samochodów o masie do 3,5 t,</w:t>
            </w:r>
          </w:p>
        </w:tc>
      </w:tr>
      <w:tr w:rsidR="0034055A" w:rsidRPr="007078D3" w:rsidTr="0034055A">
        <w:tc>
          <w:tcPr>
            <w:tcW w:w="1384" w:type="dxa"/>
            <w:shd w:val="clear" w:color="auto" w:fill="DDDDDD"/>
            <w:noWrap/>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c) 8 cm</w:t>
            </w:r>
          </w:p>
        </w:tc>
        <w:tc>
          <w:tcPr>
            <w:tcW w:w="6215" w:type="dxa"/>
            <w:shd w:val="clear" w:color="auto" w:fill="DDDDDD"/>
            <w:noWrap/>
            <w:tcMar>
              <w:top w:w="0" w:type="dxa"/>
              <w:left w:w="108" w:type="dxa"/>
              <w:bottom w:w="0" w:type="dxa"/>
              <w:right w:w="108" w:type="dxa"/>
            </w:tcMar>
            <w:hideMark/>
          </w:tcPr>
          <w:p w:rsidR="0034055A" w:rsidRPr="007078D3" w:rsidRDefault="0034055A" w:rsidP="00ED04E8">
            <w:pPr>
              <w:ind w:left="351" w:hanging="351"/>
              <w:rPr>
                <w:rFonts w:ascii="Times New Roman" w:hAnsi="Times New Roman" w:cs="Times New Roman"/>
                <w:szCs w:val="20"/>
              </w:rPr>
            </w:pPr>
            <w:r w:rsidRPr="007078D3">
              <w:rPr>
                <w:rFonts w:ascii="Times New Roman" w:hAnsi="Times New Roman" w:cs="Times New Roman"/>
                <w:szCs w:val="20"/>
              </w:rPr>
              <w:t>–        w przypadku intensywnego ruchu samochodów osobowych, ciężarowych i innych ciężkich pojazdów,</w:t>
            </w:r>
          </w:p>
        </w:tc>
      </w:tr>
      <w:tr w:rsidR="0034055A" w:rsidRPr="007078D3" w:rsidTr="0034055A">
        <w:tc>
          <w:tcPr>
            <w:tcW w:w="1384" w:type="dxa"/>
            <w:shd w:val="clear" w:color="auto" w:fill="DDDDDD"/>
            <w:noWrap/>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d) 10 cm</w:t>
            </w:r>
          </w:p>
        </w:tc>
        <w:tc>
          <w:tcPr>
            <w:tcW w:w="6215" w:type="dxa"/>
            <w:shd w:val="clear" w:color="auto" w:fill="DDDDDD"/>
            <w:noWrap/>
            <w:tcMar>
              <w:top w:w="0" w:type="dxa"/>
              <w:left w:w="108" w:type="dxa"/>
              <w:bottom w:w="0" w:type="dxa"/>
              <w:right w:w="108" w:type="dxa"/>
            </w:tcMar>
            <w:hideMark/>
          </w:tcPr>
          <w:p w:rsidR="0034055A" w:rsidRPr="007078D3" w:rsidRDefault="0034055A" w:rsidP="00ED04E8">
            <w:pPr>
              <w:ind w:left="351" w:hanging="351"/>
              <w:rPr>
                <w:rFonts w:ascii="Times New Roman" w:hAnsi="Times New Roman" w:cs="Times New Roman"/>
                <w:szCs w:val="20"/>
              </w:rPr>
            </w:pPr>
            <w:r w:rsidRPr="007078D3">
              <w:rPr>
                <w:rFonts w:ascii="Times New Roman" w:hAnsi="Times New Roman" w:cs="Times New Roman"/>
                <w:szCs w:val="20"/>
              </w:rPr>
              <w:t>–        w przypadku najbardziej intensywnego obciążenia, np. na placach przemysłowych, przy ciągłym ruchu ciężkich pojazdów.</w:t>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color w:val="000000"/>
          <w:szCs w:val="20"/>
          <w:shd w:val="clear" w:color="auto" w:fill="DDDDDD"/>
        </w:rPr>
        <w:br w:type="textWrapping" w:clear="all"/>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ZAŁĄCZNIK 3</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Przykładowe konstrukcje nawierzchni z betonowej kostki brukowej na ulicach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(wg W. Brylicki: Zadanie dla specjalistów, „Budownictwo-Technologie-Architektura”,</w:t>
      </w:r>
      <w:r w:rsidRPr="007078D3">
        <w:rPr>
          <w:rFonts w:ascii="Times New Roman" w:hAnsi="Times New Roman" w:cs="Times New Roman"/>
          <w:color w:val="000000"/>
          <w:szCs w:val="20"/>
        </w:rPr>
        <w:br/>
        <w:t>nr specjalny, 2005 r.)</w:t>
      </w:r>
    </w:p>
    <w:p w:rsidR="0034055A" w:rsidRPr="007078D3" w:rsidRDefault="0034055A" w:rsidP="00ED04E8">
      <w:pPr>
        <w:jc w:val="cente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1. Kategorie ruchu do ustalenia konstrukcji nawierzchni</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tbl>
      <w:tblPr>
        <w:tblW w:w="0" w:type="auto"/>
        <w:tblInd w:w="108" w:type="dxa"/>
        <w:shd w:val="clear" w:color="auto" w:fill="DDDDDD"/>
        <w:tblCellMar>
          <w:left w:w="0" w:type="dxa"/>
          <w:right w:w="0" w:type="dxa"/>
        </w:tblCellMar>
        <w:tblLook w:val="04A0"/>
      </w:tblPr>
      <w:tblGrid>
        <w:gridCol w:w="489"/>
        <w:gridCol w:w="4473"/>
        <w:gridCol w:w="2441"/>
      </w:tblGrid>
      <w:tr w:rsidR="0034055A" w:rsidRPr="00EF535A" w:rsidTr="0034055A">
        <w:tc>
          <w:tcPr>
            <w:tcW w:w="489" w:type="dxa"/>
            <w:tcBorders>
              <w:top w:val="single" w:sz="8" w:space="0" w:color="auto"/>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4473" w:type="dxa"/>
            <w:tcBorders>
              <w:top w:val="single" w:sz="8" w:space="0" w:color="auto"/>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Przeznaczenie nawierzchni</w:t>
            </w:r>
          </w:p>
        </w:tc>
        <w:tc>
          <w:tcPr>
            <w:tcW w:w="2441" w:type="dxa"/>
            <w:tcBorders>
              <w:top w:val="single" w:sz="8" w:space="0" w:color="auto"/>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Kategoria ruchu</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(liczba pojazdów porównawczych o nacisku do 80 kN/oś/pas/24 h)</w:t>
            </w:r>
          </w:p>
        </w:tc>
      </w:tr>
      <w:tr w:rsidR="0034055A" w:rsidRPr="00EF535A" w:rsidTr="0034055A">
        <w:tc>
          <w:tcPr>
            <w:tcW w:w="489"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4473"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Chodniki, ścieżki rowerowe i ciągi pieszo-jezdne tylko wyjątkowo wykorzystywane przez samochody dostawcze i samochody oczyszczania</w:t>
            </w:r>
          </w:p>
        </w:tc>
        <w:tc>
          <w:tcPr>
            <w:tcW w:w="2441"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Bardzo lekki</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R</w:t>
            </w:r>
            <w:r w:rsidRPr="00EF535A">
              <w:rPr>
                <w:rFonts w:ascii="Times New Roman" w:hAnsi="Times New Roman" w:cs="Times New Roman"/>
                <w:sz w:val="18"/>
                <w:szCs w:val="18"/>
                <w:vertAlign w:val="subscript"/>
              </w:rPr>
              <w:t>0 </w:t>
            </w:r>
            <w:r w:rsidRPr="00EF535A">
              <w:rPr>
                <w:rFonts w:ascii="Times New Roman" w:hAnsi="Times New Roman" w:cs="Times New Roman"/>
                <w:sz w:val="18"/>
                <w:szCs w:val="18"/>
              </w:rPr>
              <w:t>/do 4</w:t>
            </w:r>
          </w:p>
        </w:tc>
      </w:tr>
      <w:tr w:rsidR="0034055A" w:rsidRPr="00EF535A" w:rsidTr="0034055A">
        <w:tc>
          <w:tcPr>
            <w:tcW w:w="489"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4473"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 xml:space="preserve">Ulice osiedlowe, parkingi samochodów osobowych, na których okazjonalnie zatrzymują się samochody ciężarowe oraz rzadko użytkowane przez samochody ciężarowe ulice </w:t>
            </w:r>
            <w:r w:rsidRPr="00EF535A">
              <w:rPr>
                <w:rFonts w:ascii="Times New Roman" w:hAnsi="Times New Roman" w:cs="Times New Roman"/>
                <w:sz w:val="18"/>
                <w:szCs w:val="18"/>
              </w:rPr>
              <w:lastRenderedPageBreak/>
              <w:t>i place</w:t>
            </w:r>
          </w:p>
        </w:tc>
        <w:tc>
          <w:tcPr>
            <w:tcW w:w="2441"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Bardzo lekki</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R</w:t>
            </w:r>
            <w:r w:rsidRPr="00EF535A">
              <w:rPr>
                <w:rFonts w:ascii="Times New Roman" w:hAnsi="Times New Roman" w:cs="Times New Roman"/>
                <w:sz w:val="18"/>
                <w:szCs w:val="18"/>
                <w:vertAlign w:val="subscript"/>
              </w:rPr>
              <w:t>1 </w:t>
            </w:r>
            <w:r w:rsidRPr="00EF535A">
              <w:rPr>
                <w:rFonts w:ascii="Times New Roman" w:hAnsi="Times New Roman" w:cs="Times New Roman"/>
                <w:sz w:val="18"/>
                <w:szCs w:val="18"/>
              </w:rPr>
              <w:t>/ 5÷11</w:t>
            </w:r>
          </w:p>
        </w:tc>
      </w:tr>
      <w:tr w:rsidR="0034055A" w:rsidRPr="00EF535A" w:rsidTr="0034055A">
        <w:tc>
          <w:tcPr>
            <w:tcW w:w="489"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3</w:t>
            </w:r>
          </w:p>
        </w:tc>
        <w:tc>
          <w:tcPr>
            <w:tcW w:w="4473"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Ulice osiedlowe, strefy ruchu pieszego z ruchem dostawczym, stale użytkowane parkingi samochodów osobowych z nielicznym udziałem samochodów ciężarowych i autobusów</w:t>
            </w:r>
          </w:p>
        </w:tc>
        <w:tc>
          <w:tcPr>
            <w:tcW w:w="2441"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Lekki</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R</w:t>
            </w:r>
            <w:r w:rsidRPr="00EF535A">
              <w:rPr>
                <w:rFonts w:ascii="Times New Roman" w:hAnsi="Times New Roman" w:cs="Times New Roman"/>
                <w:sz w:val="18"/>
                <w:szCs w:val="18"/>
                <w:vertAlign w:val="subscript"/>
              </w:rPr>
              <w:t>2</w:t>
            </w:r>
            <w:r w:rsidRPr="00EF535A">
              <w:rPr>
                <w:rFonts w:ascii="Times New Roman" w:hAnsi="Times New Roman" w:cs="Times New Roman"/>
                <w:sz w:val="18"/>
                <w:szCs w:val="18"/>
              </w:rPr>
              <w:t> / 12÷35</w:t>
            </w:r>
          </w:p>
        </w:tc>
      </w:tr>
      <w:tr w:rsidR="0034055A" w:rsidRPr="00EF535A" w:rsidTr="0034055A">
        <w:tc>
          <w:tcPr>
            <w:tcW w:w="489" w:type="dxa"/>
            <w:tcBorders>
              <w:top w:val="nil"/>
              <w:left w:val="single" w:sz="8" w:space="0" w:color="auto"/>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4</w:t>
            </w:r>
          </w:p>
        </w:tc>
        <w:tc>
          <w:tcPr>
            <w:tcW w:w="4473"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rPr>
                <w:rFonts w:ascii="Times New Roman" w:hAnsi="Times New Roman" w:cs="Times New Roman"/>
                <w:sz w:val="18"/>
                <w:szCs w:val="18"/>
              </w:rPr>
            </w:pPr>
            <w:r w:rsidRPr="00EF535A">
              <w:rPr>
                <w:rFonts w:ascii="Times New Roman" w:hAnsi="Times New Roman" w:cs="Times New Roman"/>
                <w:sz w:val="18"/>
                <w:szCs w:val="18"/>
              </w:rPr>
              <w:t>Ulice zbiorcze, strefy ruchu pieszego z ciężkim ruchem dostawczym, parkingi dla samochodów ciężarowych i autobusów oraz drogi przemysłowe</w:t>
            </w:r>
          </w:p>
        </w:tc>
        <w:tc>
          <w:tcPr>
            <w:tcW w:w="2441" w:type="dxa"/>
            <w:tcBorders>
              <w:top w:val="nil"/>
              <w:left w:val="nil"/>
              <w:bottom w:val="single" w:sz="8" w:space="0" w:color="auto"/>
              <w:right w:val="single" w:sz="8" w:space="0" w:color="auto"/>
            </w:tcBorders>
            <w:shd w:val="clear" w:color="auto" w:fill="DDDDDD"/>
            <w:noWrap/>
            <w:tcMar>
              <w:top w:w="0" w:type="dxa"/>
              <w:left w:w="108" w:type="dxa"/>
              <w:bottom w:w="0" w:type="dxa"/>
              <w:right w:w="108" w:type="dxa"/>
            </w:tcMar>
            <w:hideMark/>
          </w:tcPr>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Lekko-średni</w:t>
            </w:r>
          </w:p>
          <w:p w:rsidR="0034055A" w:rsidRPr="00EF535A" w:rsidRDefault="0034055A" w:rsidP="00ED04E8">
            <w:pPr>
              <w:jc w:val="center"/>
              <w:rPr>
                <w:rFonts w:ascii="Times New Roman" w:hAnsi="Times New Roman" w:cs="Times New Roman"/>
                <w:sz w:val="18"/>
                <w:szCs w:val="18"/>
              </w:rPr>
            </w:pPr>
            <w:r w:rsidRPr="00EF535A">
              <w:rPr>
                <w:rFonts w:ascii="Times New Roman" w:hAnsi="Times New Roman" w:cs="Times New Roman"/>
                <w:sz w:val="18"/>
                <w:szCs w:val="18"/>
              </w:rPr>
              <w:t>R</w:t>
            </w:r>
            <w:r w:rsidRPr="00EF535A">
              <w:rPr>
                <w:rFonts w:ascii="Times New Roman" w:hAnsi="Times New Roman" w:cs="Times New Roman"/>
                <w:sz w:val="18"/>
                <w:szCs w:val="18"/>
                <w:vertAlign w:val="subscript"/>
              </w:rPr>
              <w:t>3</w:t>
            </w:r>
            <w:r w:rsidRPr="00EF535A">
              <w:rPr>
                <w:rFonts w:ascii="Times New Roman" w:hAnsi="Times New Roman" w:cs="Times New Roman"/>
                <w:sz w:val="18"/>
                <w:szCs w:val="18"/>
              </w:rPr>
              <w:t> / 36÷100</w:t>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2. Konstrukcje nawierzchni</w:t>
      </w:r>
    </w:p>
    <w:p w:rsidR="0034055A" w:rsidRPr="007078D3" w:rsidRDefault="0034055A" w:rsidP="00ED04E8">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Oznaczenia: a) warstwa ścieralna z drobnowymiarowych elementów betonowych innych niż    elementy sześciokątne, b) warstwa ścieralna z drobnowymiarowych elementów betonowych o kształcie sześciokątnym, c) warstwa ścieralna z drobnowymiarowych elementów betonowych może być układana bezpośrednio na warstwie mrozoodpornej odpowiedniej grubości</w:t>
      </w:r>
    </w:p>
    <w:p w:rsidR="0034055A" w:rsidRPr="007078D3" w:rsidRDefault="0034055A" w:rsidP="00ED04E8">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 </w:t>
      </w:r>
    </w:p>
    <w:tbl>
      <w:tblPr>
        <w:tblW w:w="0" w:type="auto"/>
        <w:shd w:val="clear" w:color="auto" w:fill="DDDDDD"/>
        <w:tblCellMar>
          <w:left w:w="0" w:type="dxa"/>
          <w:right w:w="0" w:type="dxa"/>
        </w:tblCellMar>
        <w:tblLook w:val="04A0"/>
      </w:tblPr>
      <w:tblGrid>
        <w:gridCol w:w="4723"/>
        <w:gridCol w:w="4854"/>
      </w:tblGrid>
      <w:tr w:rsidR="0034055A" w:rsidRPr="007078D3" w:rsidTr="0034055A">
        <w:trPr>
          <w:trHeight w:val="437"/>
        </w:trPr>
        <w:tc>
          <w:tcPr>
            <w:tcW w:w="3730" w:type="dxa"/>
            <w:shd w:val="clear" w:color="auto" w:fill="DDDDDD"/>
            <w:tcMar>
              <w:top w:w="0" w:type="dxa"/>
              <w:left w:w="108" w:type="dxa"/>
              <w:bottom w:w="0" w:type="dxa"/>
              <w:right w:w="108" w:type="dxa"/>
            </w:tcMar>
            <w:hideMark/>
          </w:tcPr>
          <w:p w:rsidR="0034055A" w:rsidRPr="007078D3" w:rsidRDefault="0034055A" w:rsidP="00ED04E8">
            <w:pPr>
              <w:ind w:left="426" w:hanging="426"/>
              <w:rPr>
                <w:rFonts w:ascii="Times New Roman" w:hAnsi="Times New Roman" w:cs="Times New Roman"/>
                <w:szCs w:val="20"/>
              </w:rPr>
            </w:pPr>
            <w:r w:rsidRPr="007078D3">
              <w:rPr>
                <w:rFonts w:ascii="Times New Roman" w:hAnsi="Times New Roman" w:cs="Times New Roman"/>
                <w:szCs w:val="20"/>
              </w:rPr>
              <w:t>2.1. Konstrukcja nawierzchni dla kategorii ruchu R</w:t>
            </w:r>
            <w:r w:rsidRPr="007078D3">
              <w:rPr>
                <w:rFonts w:ascii="Times New Roman" w:hAnsi="Times New Roman" w:cs="Times New Roman"/>
                <w:szCs w:val="20"/>
                <w:vertAlign w:val="subscript"/>
              </w:rPr>
              <w:t>0</w:t>
            </w:r>
            <w:r w:rsidRPr="007078D3">
              <w:rPr>
                <w:rFonts w:ascii="Times New Roman" w:hAnsi="Times New Roman" w:cs="Times New Roman"/>
                <w:szCs w:val="20"/>
              </w:rPr>
              <w:t> – grubość warstwy w [cm]</w:t>
            </w:r>
          </w:p>
          <w:p w:rsidR="0034055A" w:rsidRPr="007078D3" w:rsidRDefault="0034055A" w:rsidP="00ED04E8">
            <w:pPr>
              <w:ind w:left="426" w:hanging="426"/>
              <w:rPr>
                <w:rFonts w:ascii="Times New Roman" w:hAnsi="Times New Roman" w:cs="Times New Roman"/>
                <w:szCs w:val="20"/>
              </w:rPr>
            </w:pPr>
            <w:r w:rsidRPr="007078D3">
              <w:rPr>
                <w:rFonts w:ascii="Times New Roman" w:hAnsi="Times New Roman" w:cs="Times New Roman"/>
                <w:szCs w:val="20"/>
              </w:rPr>
              <w:t> </w:t>
            </w:r>
          </w:p>
        </w:tc>
        <w:tc>
          <w:tcPr>
            <w:tcW w:w="3857" w:type="dxa"/>
            <w:shd w:val="clear" w:color="auto" w:fill="DDDDDD"/>
            <w:tcMar>
              <w:top w:w="0" w:type="dxa"/>
              <w:left w:w="108" w:type="dxa"/>
              <w:bottom w:w="0" w:type="dxa"/>
              <w:right w:w="108" w:type="dxa"/>
            </w:tcMar>
            <w:hideMark/>
          </w:tcPr>
          <w:p w:rsidR="0034055A" w:rsidRPr="007078D3" w:rsidRDefault="0034055A" w:rsidP="00ED04E8">
            <w:pPr>
              <w:ind w:left="426" w:hanging="426"/>
              <w:rPr>
                <w:rFonts w:ascii="Times New Roman" w:hAnsi="Times New Roman" w:cs="Times New Roman"/>
                <w:szCs w:val="20"/>
              </w:rPr>
            </w:pPr>
            <w:r w:rsidRPr="007078D3">
              <w:rPr>
                <w:rFonts w:ascii="Times New Roman" w:hAnsi="Times New Roman" w:cs="Times New Roman"/>
                <w:szCs w:val="20"/>
              </w:rPr>
              <w:t>2.2. Konstrukcja nawierzchni dla kategorii ruchu R</w:t>
            </w:r>
            <w:r w:rsidRPr="007078D3">
              <w:rPr>
                <w:rFonts w:ascii="Times New Roman" w:hAnsi="Times New Roman" w:cs="Times New Roman"/>
                <w:szCs w:val="20"/>
                <w:vertAlign w:val="subscript"/>
              </w:rPr>
              <w:t>1</w:t>
            </w:r>
            <w:r w:rsidRPr="007078D3">
              <w:rPr>
                <w:rFonts w:ascii="Times New Roman" w:hAnsi="Times New Roman" w:cs="Times New Roman"/>
                <w:szCs w:val="20"/>
              </w:rPr>
              <w:t> – grubość warstwy w [cm]</w:t>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tc>
      </w:tr>
      <w:tr w:rsidR="0034055A" w:rsidRPr="007078D3" w:rsidTr="0034055A">
        <w:trPr>
          <w:trHeight w:val="2157"/>
        </w:trPr>
        <w:tc>
          <w:tcPr>
            <w:tcW w:w="3730"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861945" cy="1650365"/>
                  <wp:effectExtent l="0" t="0" r="0" b="0"/>
                  <wp:docPr id="1876135642" name="Obraz 81" descr="rys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rys21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1945" cy="1650365"/>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tc>
        <w:tc>
          <w:tcPr>
            <w:tcW w:w="3857"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802890" cy="1650365"/>
                  <wp:effectExtent l="0" t="0" r="0" b="0"/>
                  <wp:docPr id="523379502" name="Obraz 80" descr="rys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rys221"/>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02890" cy="1650365"/>
                          </a:xfrm>
                          <a:prstGeom prst="rect">
                            <a:avLst/>
                          </a:prstGeom>
                          <a:noFill/>
                          <a:ln>
                            <a:noFill/>
                          </a:ln>
                        </pic:spPr>
                      </pic:pic>
                    </a:graphicData>
                  </a:graphic>
                </wp:inline>
              </w:drawing>
            </w:r>
          </w:p>
        </w:tc>
      </w:tr>
      <w:tr w:rsidR="0034055A" w:rsidRPr="007078D3" w:rsidTr="0034055A">
        <w:trPr>
          <w:trHeight w:val="206"/>
        </w:trPr>
        <w:tc>
          <w:tcPr>
            <w:tcW w:w="3730"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861945" cy="1650365"/>
                  <wp:effectExtent l="0" t="0" r="0" b="0"/>
                  <wp:docPr id="900366131" name="Obraz 79" descr="rys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rys212"/>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1945" cy="1650365"/>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tc>
        <w:tc>
          <w:tcPr>
            <w:tcW w:w="3857" w:type="dxa"/>
            <w:shd w:val="clear" w:color="auto" w:fill="DDDDDD"/>
            <w:tcMar>
              <w:top w:w="0" w:type="dxa"/>
              <w:left w:w="108" w:type="dxa"/>
              <w:bottom w:w="0" w:type="dxa"/>
              <w:right w:w="108" w:type="dxa"/>
            </w:tcMar>
            <w:hideMark/>
          </w:tcPr>
          <w:p w:rsidR="0034055A" w:rsidRPr="007078D3" w:rsidRDefault="0034055A" w:rsidP="00ED04E8">
            <w:pPr>
              <w:ind w:left="426" w:hanging="426"/>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874010" cy="1638935"/>
                  <wp:effectExtent l="0" t="0" r="0" b="0"/>
                  <wp:docPr id="955460084" name="Obraz 78" descr="rys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rys222"/>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4010" cy="1638935"/>
                          </a:xfrm>
                          <a:prstGeom prst="rect">
                            <a:avLst/>
                          </a:prstGeom>
                          <a:noFill/>
                          <a:ln>
                            <a:noFill/>
                          </a:ln>
                        </pic:spPr>
                      </pic:pic>
                    </a:graphicData>
                  </a:graphic>
                </wp:inline>
              </w:drawing>
            </w:r>
          </w:p>
        </w:tc>
      </w:tr>
      <w:tr w:rsidR="0034055A" w:rsidRPr="007078D3" w:rsidTr="0034055A">
        <w:trPr>
          <w:trHeight w:val="2340"/>
        </w:trPr>
        <w:tc>
          <w:tcPr>
            <w:tcW w:w="3730"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861945" cy="1686560"/>
                  <wp:effectExtent l="0" t="0" r="0" b="0"/>
                  <wp:docPr id="2135979670" name="Obraz 77" descr="rys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rys213"/>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1945" cy="1686560"/>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tc>
        <w:tc>
          <w:tcPr>
            <w:tcW w:w="3857" w:type="dxa"/>
            <w:shd w:val="clear" w:color="auto" w:fill="DDDDDD"/>
            <w:tcMar>
              <w:top w:w="0" w:type="dxa"/>
              <w:left w:w="108" w:type="dxa"/>
              <w:bottom w:w="0" w:type="dxa"/>
              <w:right w:w="108" w:type="dxa"/>
            </w:tcMar>
            <w:hideMark/>
          </w:tcPr>
          <w:p w:rsidR="0034055A" w:rsidRPr="007078D3" w:rsidRDefault="0034055A" w:rsidP="00ED04E8">
            <w:pPr>
              <w:ind w:left="426" w:hanging="426"/>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945130" cy="1710055"/>
                  <wp:effectExtent l="0" t="0" r="0" b="0"/>
                  <wp:docPr id="1227628003" name="Obraz 76" descr="rys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rys223"/>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5130" cy="1710055"/>
                          </a:xfrm>
                          <a:prstGeom prst="rect">
                            <a:avLst/>
                          </a:prstGeom>
                          <a:noFill/>
                          <a:ln>
                            <a:noFill/>
                          </a:ln>
                        </pic:spPr>
                      </pic:pic>
                    </a:graphicData>
                  </a:graphic>
                </wp:inline>
              </w:drawing>
            </w:r>
          </w:p>
        </w:tc>
      </w:tr>
      <w:tr w:rsidR="0034055A" w:rsidRPr="007078D3" w:rsidTr="0034055A">
        <w:trPr>
          <w:trHeight w:val="2154"/>
        </w:trPr>
        <w:tc>
          <w:tcPr>
            <w:tcW w:w="3730"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lastRenderedPageBreak/>
              <w:drawing>
                <wp:inline distT="0" distB="0" distL="0" distR="0">
                  <wp:extent cx="2861945" cy="1686560"/>
                  <wp:effectExtent l="0" t="0" r="0" b="0"/>
                  <wp:docPr id="562822744" name="Obraz 75" descr="rys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rys214"/>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1945" cy="1686560"/>
                          </a:xfrm>
                          <a:prstGeom prst="rect">
                            <a:avLst/>
                          </a:prstGeom>
                          <a:noFill/>
                          <a:ln>
                            <a:noFill/>
                          </a:ln>
                        </pic:spPr>
                      </pic:pic>
                    </a:graphicData>
                  </a:graphic>
                </wp:inline>
              </w:drawing>
            </w:r>
          </w:p>
        </w:tc>
        <w:tc>
          <w:tcPr>
            <w:tcW w:w="3857" w:type="dxa"/>
            <w:shd w:val="clear" w:color="auto" w:fill="DDDDDD"/>
            <w:tcMar>
              <w:top w:w="0" w:type="dxa"/>
              <w:left w:w="108" w:type="dxa"/>
              <w:bottom w:w="0" w:type="dxa"/>
              <w:right w:w="108" w:type="dxa"/>
            </w:tcMar>
            <w:hideMark/>
          </w:tcPr>
          <w:p w:rsidR="0034055A" w:rsidRPr="007078D3" w:rsidRDefault="0034055A" w:rsidP="00ED04E8">
            <w:pPr>
              <w:ind w:left="426" w:hanging="426"/>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874010" cy="1674495"/>
                  <wp:effectExtent l="0" t="0" r="0" b="0"/>
                  <wp:docPr id="1119975966" name="Obraz 74" descr="rys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rys224"/>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4010" cy="1674495"/>
                          </a:xfrm>
                          <a:prstGeom prst="rect">
                            <a:avLst/>
                          </a:prstGeom>
                          <a:noFill/>
                          <a:ln>
                            <a:noFill/>
                          </a:ln>
                        </pic:spPr>
                      </pic:pic>
                    </a:graphicData>
                  </a:graphic>
                </wp:inline>
              </w:drawing>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tbl>
      <w:tblPr>
        <w:tblW w:w="7621" w:type="dxa"/>
        <w:shd w:val="clear" w:color="auto" w:fill="DDDDDD"/>
        <w:tblCellMar>
          <w:left w:w="0" w:type="dxa"/>
          <w:right w:w="0" w:type="dxa"/>
        </w:tblCellMar>
        <w:tblLook w:val="04A0"/>
      </w:tblPr>
      <w:tblGrid>
        <w:gridCol w:w="4723"/>
        <w:gridCol w:w="5621"/>
      </w:tblGrid>
      <w:tr w:rsidR="0034055A" w:rsidRPr="007078D3" w:rsidTr="0034055A">
        <w:trPr>
          <w:trHeight w:val="682"/>
        </w:trPr>
        <w:tc>
          <w:tcPr>
            <w:tcW w:w="3736" w:type="dxa"/>
            <w:shd w:val="clear" w:color="auto" w:fill="DDDDDD"/>
            <w:tcMar>
              <w:top w:w="0" w:type="dxa"/>
              <w:left w:w="108" w:type="dxa"/>
              <w:bottom w:w="0" w:type="dxa"/>
              <w:right w:w="108" w:type="dxa"/>
            </w:tcMar>
            <w:hideMark/>
          </w:tcPr>
          <w:p w:rsidR="0034055A" w:rsidRPr="007078D3" w:rsidRDefault="0034055A" w:rsidP="00ED04E8">
            <w:pPr>
              <w:ind w:left="426" w:hanging="426"/>
              <w:rPr>
                <w:rFonts w:ascii="Times New Roman" w:hAnsi="Times New Roman" w:cs="Times New Roman"/>
                <w:szCs w:val="20"/>
              </w:rPr>
            </w:pPr>
            <w:r w:rsidRPr="007078D3">
              <w:rPr>
                <w:rFonts w:ascii="Times New Roman" w:hAnsi="Times New Roman" w:cs="Times New Roman"/>
                <w:szCs w:val="20"/>
              </w:rPr>
              <w:t>2.3. Konstrukcja nawierzchni dla kategorii ruchu R</w:t>
            </w:r>
            <w:r w:rsidRPr="007078D3">
              <w:rPr>
                <w:rFonts w:ascii="Times New Roman" w:hAnsi="Times New Roman" w:cs="Times New Roman"/>
                <w:szCs w:val="20"/>
                <w:vertAlign w:val="subscript"/>
              </w:rPr>
              <w:t>2</w:t>
            </w:r>
            <w:r w:rsidRPr="007078D3">
              <w:rPr>
                <w:rFonts w:ascii="Times New Roman" w:hAnsi="Times New Roman" w:cs="Times New Roman"/>
                <w:szCs w:val="20"/>
              </w:rPr>
              <w:t> – grubość warstwy w [cm]</w:t>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tc>
        <w:tc>
          <w:tcPr>
            <w:tcW w:w="3885" w:type="dxa"/>
            <w:shd w:val="clear" w:color="auto" w:fill="DDDDDD"/>
            <w:tcMar>
              <w:top w:w="0" w:type="dxa"/>
              <w:left w:w="108" w:type="dxa"/>
              <w:bottom w:w="0" w:type="dxa"/>
              <w:right w:w="108" w:type="dxa"/>
            </w:tcMar>
            <w:hideMark/>
          </w:tcPr>
          <w:p w:rsidR="0034055A" w:rsidRPr="007078D3" w:rsidRDefault="0034055A" w:rsidP="00ED04E8">
            <w:pPr>
              <w:ind w:left="426" w:hanging="426"/>
              <w:rPr>
                <w:rFonts w:ascii="Times New Roman" w:hAnsi="Times New Roman" w:cs="Times New Roman"/>
                <w:szCs w:val="20"/>
              </w:rPr>
            </w:pPr>
            <w:r w:rsidRPr="007078D3">
              <w:rPr>
                <w:rFonts w:ascii="Times New Roman" w:hAnsi="Times New Roman" w:cs="Times New Roman"/>
                <w:szCs w:val="20"/>
              </w:rPr>
              <w:t>2.4. Konstrukcja nawierzchni dla kategorii ruchu R</w:t>
            </w:r>
            <w:r w:rsidRPr="007078D3">
              <w:rPr>
                <w:rFonts w:ascii="Times New Roman" w:hAnsi="Times New Roman" w:cs="Times New Roman"/>
                <w:szCs w:val="20"/>
                <w:vertAlign w:val="subscript"/>
              </w:rPr>
              <w:t>3 </w:t>
            </w:r>
            <w:r w:rsidRPr="007078D3">
              <w:rPr>
                <w:rFonts w:ascii="Times New Roman" w:hAnsi="Times New Roman" w:cs="Times New Roman"/>
                <w:szCs w:val="20"/>
              </w:rPr>
              <w:t>– grubość warstwy w [cm]</w:t>
            </w:r>
          </w:p>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 </w:t>
            </w:r>
          </w:p>
        </w:tc>
      </w:tr>
      <w:tr w:rsidR="0034055A" w:rsidRPr="007078D3" w:rsidTr="0034055A">
        <w:trPr>
          <w:trHeight w:val="334"/>
        </w:trPr>
        <w:tc>
          <w:tcPr>
            <w:tcW w:w="3736"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861945" cy="1662430"/>
                  <wp:effectExtent l="0" t="0" r="0" b="0"/>
                  <wp:docPr id="93442637" name="Obraz 73" descr="rys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rys231"/>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1945" cy="1662430"/>
                          </a:xfrm>
                          <a:prstGeom prst="rect">
                            <a:avLst/>
                          </a:prstGeom>
                          <a:noFill/>
                          <a:ln>
                            <a:noFill/>
                          </a:ln>
                        </pic:spPr>
                      </pic:pic>
                    </a:graphicData>
                  </a:graphic>
                </wp:inline>
              </w:drawing>
            </w:r>
          </w:p>
        </w:tc>
        <w:tc>
          <w:tcPr>
            <w:tcW w:w="3885"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3408045" cy="1614805"/>
                  <wp:effectExtent l="0" t="0" r="0" b="0"/>
                  <wp:docPr id="1419773506" name="Obraz 72" descr="rys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rys241"/>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08045" cy="1614805"/>
                          </a:xfrm>
                          <a:prstGeom prst="rect">
                            <a:avLst/>
                          </a:prstGeom>
                          <a:noFill/>
                          <a:ln>
                            <a:noFill/>
                          </a:ln>
                        </pic:spPr>
                      </pic:pic>
                    </a:graphicData>
                  </a:graphic>
                </wp:inline>
              </w:drawing>
            </w:r>
          </w:p>
        </w:tc>
      </w:tr>
      <w:tr w:rsidR="0034055A" w:rsidRPr="007078D3" w:rsidTr="0034055A">
        <w:trPr>
          <w:trHeight w:val="206"/>
        </w:trPr>
        <w:tc>
          <w:tcPr>
            <w:tcW w:w="3736"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861945" cy="1638935"/>
                  <wp:effectExtent l="0" t="0" r="0" b="0"/>
                  <wp:docPr id="2087362648" name="Obraz 71" descr="rys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rys232"/>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1945" cy="1638935"/>
                          </a:xfrm>
                          <a:prstGeom prst="rect">
                            <a:avLst/>
                          </a:prstGeom>
                          <a:noFill/>
                          <a:ln>
                            <a:noFill/>
                          </a:ln>
                        </pic:spPr>
                      </pic:pic>
                    </a:graphicData>
                  </a:graphic>
                </wp:inline>
              </w:drawing>
            </w:r>
          </w:p>
        </w:tc>
        <w:tc>
          <w:tcPr>
            <w:tcW w:w="3885"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3432175" cy="1828800"/>
                  <wp:effectExtent l="0" t="0" r="0" b="0"/>
                  <wp:docPr id="1159599550" name="Obraz 70" descr="rys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rys242"/>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32175" cy="1828800"/>
                          </a:xfrm>
                          <a:prstGeom prst="rect">
                            <a:avLst/>
                          </a:prstGeom>
                          <a:noFill/>
                          <a:ln>
                            <a:noFill/>
                          </a:ln>
                        </pic:spPr>
                      </pic:pic>
                    </a:graphicData>
                  </a:graphic>
                </wp:inline>
              </w:drawing>
            </w:r>
          </w:p>
        </w:tc>
      </w:tr>
      <w:tr w:rsidR="0034055A" w:rsidRPr="007078D3" w:rsidTr="0034055A">
        <w:trPr>
          <w:trHeight w:val="193"/>
        </w:trPr>
        <w:tc>
          <w:tcPr>
            <w:tcW w:w="3736"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861945" cy="1662430"/>
                  <wp:effectExtent l="0" t="0" r="0" b="0"/>
                  <wp:docPr id="2142724878" name="Obraz 69" descr="rys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rys233"/>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1945" cy="1662430"/>
                          </a:xfrm>
                          <a:prstGeom prst="rect">
                            <a:avLst/>
                          </a:prstGeom>
                          <a:noFill/>
                          <a:ln>
                            <a:noFill/>
                          </a:ln>
                        </pic:spPr>
                      </pic:pic>
                    </a:graphicData>
                  </a:graphic>
                </wp:inline>
              </w:drawing>
            </w:r>
          </w:p>
        </w:tc>
        <w:tc>
          <w:tcPr>
            <w:tcW w:w="3885"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3432175" cy="1662430"/>
                  <wp:effectExtent l="0" t="0" r="0" b="0"/>
                  <wp:docPr id="577061606" name="Obraz 68" descr="rys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rys243"/>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32175" cy="1662430"/>
                          </a:xfrm>
                          <a:prstGeom prst="rect">
                            <a:avLst/>
                          </a:prstGeom>
                          <a:noFill/>
                          <a:ln>
                            <a:noFill/>
                          </a:ln>
                        </pic:spPr>
                      </pic:pic>
                    </a:graphicData>
                  </a:graphic>
                </wp:inline>
              </w:drawing>
            </w:r>
          </w:p>
        </w:tc>
      </w:tr>
      <w:tr w:rsidR="0034055A" w:rsidRPr="007078D3" w:rsidTr="0034055A">
        <w:trPr>
          <w:trHeight w:val="193"/>
        </w:trPr>
        <w:tc>
          <w:tcPr>
            <w:tcW w:w="3736"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lastRenderedPageBreak/>
              <w:drawing>
                <wp:inline distT="0" distB="0" distL="0" distR="0">
                  <wp:extent cx="2861945" cy="1614805"/>
                  <wp:effectExtent l="0" t="0" r="0" b="0"/>
                  <wp:docPr id="2011906459" name="Obraz 67" descr="rys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rys234"/>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1945" cy="1614805"/>
                          </a:xfrm>
                          <a:prstGeom prst="rect">
                            <a:avLst/>
                          </a:prstGeom>
                          <a:noFill/>
                          <a:ln>
                            <a:noFill/>
                          </a:ln>
                        </pic:spPr>
                      </pic:pic>
                    </a:graphicData>
                  </a:graphic>
                </wp:inline>
              </w:drawing>
            </w:r>
          </w:p>
        </w:tc>
        <w:tc>
          <w:tcPr>
            <w:tcW w:w="3885"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3432175" cy="1638935"/>
                  <wp:effectExtent l="0" t="0" r="0" b="0"/>
                  <wp:docPr id="1353577659" name="Obraz 66" descr="rys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rys244"/>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32175" cy="1638935"/>
                          </a:xfrm>
                          <a:prstGeom prst="rect">
                            <a:avLst/>
                          </a:prstGeom>
                          <a:noFill/>
                          <a:ln>
                            <a:noFill/>
                          </a:ln>
                        </pic:spPr>
                      </pic:pic>
                    </a:graphicData>
                  </a:graphic>
                </wp:inline>
              </w:drawing>
            </w:r>
          </w:p>
        </w:tc>
      </w:tr>
    </w:tbl>
    <w:p w:rsidR="0034055A" w:rsidRPr="007078D3" w:rsidRDefault="0034055A" w:rsidP="00ED04E8">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ZAŁĄCZNIK 4</w:t>
      </w:r>
    </w:p>
    <w:p w:rsidR="0034055A" w:rsidRPr="007078D3" w:rsidRDefault="0034055A" w:rsidP="00ED04E8">
      <w:pPr>
        <w:jc w:val="right"/>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Zalecone konstrukcje nawierzchni z betonowej kostki brukowej na drogach publicznych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(wg rozporządzenia Ministra Transportu i Gospodarki Morskiej z dnia 2 marca 1999 r.</w:t>
      </w:r>
      <w:r w:rsidRPr="007078D3">
        <w:rPr>
          <w:rFonts w:ascii="Times New Roman" w:hAnsi="Times New Roman" w:cs="Times New Roman"/>
          <w:color w:val="000000"/>
          <w:szCs w:val="20"/>
        </w:rPr>
        <w:br/>
        <w:t>w sprawie warunków technicznych, jakim powinny odpowiadać drogi publiczne i ich usytuowanie, Dz.U. Nr 43, poz. 430)</w:t>
      </w:r>
    </w:p>
    <w:p w:rsidR="0034055A" w:rsidRPr="007078D3" w:rsidRDefault="0034055A" w:rsidP="00ED04E8">
      <w:pPr>
        <w:jc w:val="cente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Nawierzchnia w rejonie przystanku autobusowego (na podłożu G1 o module sprężystości (wtórnym) ≥ 120 MPa)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pStyle w:val="Akapitzlist"/>
        <w:ind w:left="360" w:hanging="360"/>
        <w:rPr>
          <w:rFonts w:ascii="Times New Roman" w:hAnsi="Times New Roman" w:cs="Times New Roman"/>
          <w:color w:val="000000"/>
          <w:szCs w:val="20"/>
        </w:rPr>
      </w:pPr>
      <w:r w:rsidRPr="007078D3">
        <w:rPr>
          <w:rFonts w:ascii="Times New Roman" w:hAnsi="Times New Roman" w:cs="Times New Roman"/>
          <w:color w:val="000000"/>
          <w:szCs w:val="20"/>
        </w:rPr>
        <w:t>1.1.   Drogi o ruchu kategorii KR3 (71¸335 osi obliczeniowych 100 kN/pas/dobę)</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5367655" cy="2066290"/>
            <wp:effectExtent l="0" t="0" r="0" b="0"/>
            <wp:docPr id="118515084"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67655" cy="2066290"/>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1.2.  Drogi o ruchu kategorii KR4 (336¸1000 osi obliczeniowych 100 kN/pas/dobę)</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5367655" cy="2351405"/>
            <wp:effectExtent l="0" t="0" r="0" b="0"/>
            <wp:docPr id="1609105949"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67655" cy="2351405"/>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1.3.  Drogi o ruchu kategorii KR5 (1001¸2000 osi obliczeniowych 100 kN/pas/dobę)</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lastRenderedPageBreak/>
        <w:drawing>
          <wp:inline distT="0" distB="0" distL="0" distR="0">
            <wp:extent cx="5367655" cy="2339340"/>
            <wp:effectExtent l="0" t="0" r="0" b="0"/>
            <wp:docPr id="58892025"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67655" cy="2339340"/>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2.  Nawierzchnia jezdni dróg klasy L (lokalnych) i D (dojazdowych) w strefie zamieszkania (na podłożu G1 o module sprężystości (wtórnym) ³ 100 MPa)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2957195" cy="1757680"/>
            <wp:effectExtent l="0" t="0" r="0" b="0"/>
            <wp:docPr id="111730777"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7195" cy="1757680"/>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3.  Nawierzchnia chodnika</w:t>
      </w:r>
    </w:p>
    <w:p w:rsidR="0034055A" w:rsidRPr="007078D3" w:rsidRDefault="0034055A"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a)    z dopuszczeniem postoju samochodów o masie całkowitej £ 2500 kg, na podłożu G1 o module sprężystości (wtórnym) ³ 80 MPa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2957195" cy="1579245"/>
            <wp:effectExtent l="0" t="0" r="0" b="0"/>
            <wp:docPr id="1160206602"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7195" cy="1579245"/>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b) wyłącznie dla ruchu pieszych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2957195" cy="1009650"/>
            <wp:effectExtent l="0" t="0" r="0" b="0"/>
            <wp:docPr id="1372289131"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7195" cy="1009650"/>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4.  Nawierzchnia ścieżek rowerowych</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lastRenderedPageBreak/>
        <w:drawing>
          <wp:inline distT="0" distB="0" distL="0" distR="0">
            <wp:extent cx="2957195" cy="1009650"/>
            <wp:effectExtent l="0" t="0" r="0" b="0"/>
            <wp:docPr id="666059698"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7195" cy="1009650"/>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5. Nawierzchnia przeznaczona do postoju pojazdów i jezdni manewrowej (m.in. na parkingu)</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5.1.  dla samochodów o masie całkowitej £ 2500 kg, na podłożu G1 o module sprężystości (wtórnym) ³ 100 MPa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2921635" cy="1662430"/>
            <wp:effectExtent l="0" t="0" r="0" b="0"/>
            <wp:docPr id="1009182916"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21635" cy="1662430"/>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5.2.  dla samochodów ciężarowych na podłożu G1 o module sprężystości (wtórnym) ³ 120 MPa</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5807075" cy="3764280"/>
            <wp:effectExtent l="0" t="0" r="0" b="0"/>
            <wp:docPr id="1716014065"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07075" cy="3764280"/>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ZAŁĄCZNIK 5</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Przykłady deseni układania betonowych kostek brukowych (wg literatury podanej w zał. 1)</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a)  deseń w jodełkę</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lastRenderedPageBreak/>
        <w:drawing>
          <wp:inline distT="0" distB="0" distL="0" distR="0">
            <wp:extent cx="5723890" cy="1947545"/>
            <wp:effectExtent l="0" t="0" r="0" b="0"/>
            <wp:docPr id="647023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23890" cy="1947545"/>
                    </a:xfrm>
                    <a:prstGeom prst="rect">
                      <a:avLst/>
                    </a:prstGeom>
                    <a:noFill/>
                    <a:ln>
                      <a:noFill/>
                    </a:ln>
                  </pic:spPr>
                </pic:pic>
              </a:graphicData>
            </a:graphic>
          </wp:inline>
        </w:drawing>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tbl>
      <w:tblPr>
        <w:tblW w:w="0" w:type="auto"/>
        <w:shd w:val="clear" w:color="auto" w:fill="DDDDDD"/>
        <w:tblCellMar>
          <w:left w:w="0" w:type="dxa"/>
          <w:right w:w="0" w:type="dxa"/>
        </w:tblCellMar>
        <w:tblLook w:val="04A0"/>
      </w:tblPr>
      <w:tblGrid>
        <w:gridCol w:w="3755"/>
        <w:gridCol w:w="3756"/>
      </w:tblGrid>
      <w:tr w:rsidR="0034055A" w:rsidRPr="007078D3" w:rsidTr="0034055A">
        <w:tc>
          <w:tcPr>
            <w:tcW w:w="3755"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b).deseń w rzędy proste</w:t>
            </w:r>
          </w:p>
        </w:tc>
        <w:tc>
          <w:tcPr>
            <w:tcW w:w="3756"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t>c) deseń koszykowy</w:t>
            </w:r>
          </w:p>
        </w:tc>
      </w:tr>
      <w:tr w:rsidR="0034055A" w:rsidRPr="007078D3" w:rsidTr="0034055A">
        <w:tc>
          <w:tcPr>
            <w:tcW w:w="3755"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054225" cy="1769110"/>
                  <wp:effectExtent l="0" t="0" r="0" b="0"/>
                  <wp:docPr id="316083074"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54225" cy="1769110"/>
                          </a:xfrm>
                          <a:prstGeom prst="rect">
                            <a:avLst/>
                          </a:prstGeom>
                          <a:noFill/>
                          <a:ln>
                            <a:noFill/>
                          </a:ln>
                        </pic:spPr>
                      </pic:pic>
                    </a:graphicData>
                  </a:graphic>
                </wp:inline>
              </w:drawing>
            </w:r>
            <w:r w:rsidRPr="007078D3">
              <w:rPr>
                <w:rFonts w:ascii="Times New Roman" w:hAnsi="Times New Roman" w:cs="Times New Roman"/>
                <w:szCs w:val="20"/>
              </w:rPr>
              <w:br w:type="textWrapping" w:clear="all"/>
            </w:r>
          </w:p>
        </w:tc>
        <w:tc>
          <w:tcPr>
            <w:tcW w:w="3756" w:type="dxa"/>
            <w:shd w:val="clear" w:color="auto" w:fill="DDDDDD"/>
            <w:tcMar>
              <w:top w:w="0" w:type="dxa"/>
              <w:left w:w="108" w:type="dxa"/>
              <w:bottom w:w="0" w:type="dxa"/>
              <w:right w:w="108" w:type="dxa"/>
            </w:tcMar>
            <w:hideMark/>
          </w:tcPr>
          <w:tbl>
            <w:tblPr>
              <w:tblW w:w="0" w:type="auto"/>
              <w:tblCellSpacing w:w="0" w:type="dxa"/>
              <w:tblCellMar>
                <w:left w:w="0" w:type="dxa"/>
                <w:right w:w="0" w:type="dxa"/>
              </w:tblCellMar>
              <w:tblLook w:val="04A0"/>
            </w:tblPr>
            <w:tblGrid>
              <w:gridCol w:w="30"/>
              <w:gridCol w:w="3142"/>
            </w:tblGrid>
            <w:tr w:rsidR="0034055A" w:rsidRPr="007078D3">
              <w:trPr>
                <w:gridAfter w:val="1"/>
                <w:tblCellSpacing w:w="0" w:type="dxa"/>
              </w:trPr>
              <w:tc>
                <w:tcPr>
                  <w:tcW w:w="30" w:type="dxa"/>
                  <w:vAlign w:val="center"/>
                  <w:hideMark/>
                </w:tcPr>
                <w:p w:rsidR="0034055A" w:rsidRPr="007078D3" w:rsidRDefault="0034055A" w:rsidP="00ED04E8">
                  <w:pPr>
                    <w:rPr>
                      <w:rFonts w:ascii="Times New Roman" w:hAnsi="Times New Roman" w:cs="Times New Roman"/>
                      <w:szCs w:val="20"/>
                    </w:rPr>
                  </w:pPr>
                </w:p>
              </w:tc>
            </w:tr>
            <w:tr w:rsidR="0034055A" w:rsidRPr="007078D3">
              <w:trPr>
                <w:tblCellSpacing w:w="0" w:type="dxa"/>
              </w:trPr>
              <w:tc>
                <w:tcPr>
                  <w:tcW w:w="0" w:type="auto"/>
                  <w:vAlign w:val="center"/>
                  <w:hideMark/>
                </w:tcPr>
                <w:p w:rsidR="0034055A" w:rsidRPr="007078D3" w:rsidRDefault="0034055A" w:rsidP="00ED04E8">
                  <w:pPr>
                    <w:rPr>
                      <w:rFonts w:ascii="Times New Roman" w:hAnsi="Times New Roman" w:cs="Times New Roman"/>
                      <w:szCs w:val="20"/>
                    </w:rPr>
                  </w:pPr>
                </w:p>
              </w:tc>
              <w:tc>
                <w:tcPr>
                  <w:tcW w:w="0" w:type="auto"/>
                  <w:vAlign w:val="cente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995170" cy="1769110"/>
                        <wp:effectExtent l="0" t="0" r="0" b="0"/>
                        <wp:docPr id="588354073"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5170" cy="1769110"/>
                                </a:xfrm>
                                <a:prstGeom prst="rect">
                                  <a:avLst/>
                                </a:prstGeom>
                                <a:noFill/>
                                <a:ln>
                                  <a:noFill/>
                                </a:ln>
                              </pic:spPr>
                            </pic:pic>
                          </a:graphicData>
                        </a:graphic>
                      </wp:inline>
                    </w:drawing>
                  </w:r>
                </w:p>
              </w:tc>
            </w:tr>
          </w:tbl>
          <w:p w:rsidR="0034055A" w:rsidRPr="007078D3" w:rsidRDefault="0034055A" w:rsidP="00ED04E8">
            <w:pPr>
              <w:rPr>
                <w:rFonts w:ascii="Times New Roman" w:hAnsi="Times New Roman" w:cs="Times New Roman"/>
                <w:szCs w:val="20"/>
              </w:rPr>
            </w:pPr>
            <w:r w:rsidRPr="007078D3">
              <w:rPr>
                <w:rFonts w:ascii="Times New Roman" w:hAnsi="Times New Roman" w:cs="Times New Roman"/>
                <w:szCs w:val="20"/>
              </w:rPr>
              <w:br w:type="textWrapping" w:clear="all"/>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d) wzory dekoracyjne</w:t>
      </w:r>
    </w:p>
    <w:tbl>
      <w:tblPr>
        <w:tblW w:w="0" w:type="auto"/>
        <w:shd w:val="clear" w:color="auto" w:fill="DDDDDD"/>
        <w:tblCellMar>
          <w:left w:w="0" w:type="dxa"/>
          <w:right w:w="0" w:type="dxa"/>
        </w:tblCellMar>
        <w:tblLook w:val="04A0"/>
      </w:tblPr>
      <w:tblGrid>
        <w:gridCol w:w="3755"/>
        <w:gridCol w:w="3756"/>
      </w:tblGrid>
      <w:tr w:rsidR="0034055A" w:rsidRPr="007078D3" w:rsidTr="0034055A">
        <w:tc>
          <w:tcPr>
            <w:tcW w:w="3755"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018665" cy="1733550"/>
                  <wp:effectExtent l="0" t="0" r="0" b="0"/>
                  <wp:docPr id="725305264"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18665" cy="1733550"/>
                          </a:xfrm>
                          <a:prstGeom prst="rect">
                            <a:avLst/>
                          </a:prstGeom>
                          <a:noFill/>
                          <a:ln>
                            <a:noFill/>
                          </a:ln>
                        </pic:spPr>
                      </pic:pic>
                    </a:graphicData>
                  </a:graphic>
                </wp:inline>
              </w:drawing>
            </w:r>
          </w:p>
        </w:tc>
        <w:tc>
          <w:tcPr>
            <w:tcW w:w="3756" w:type="dxa"/>
            <w:shd w:val="clear" w:color="auto" w:fill="DDDDDD"/>
            <w:tcMar>
              <w:top w:w="0" w:type="dxa"/>
              <w:left w:w="108" w:type="dxa"/>
              <w:bottom w:w="0" w:type="dxa"/>
              <w:right w:w="108" w:type="dxa"/>
            </w:tcMar>
            <w:hideMark/>
          </w:tcPr>
          <w:p w:rsidR="0034055A" w:rsidRPr="007078D3" w:rsidRDefault="0034055A"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030730" cy="1745615"/>
                  <wp:effectExtent l="0" t="0" r="0" b="0"/>
                  <wp:docPr id="80799358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30730" cy="1745615"/>
                          </a:xfrm>
                          <a:prstGeom prst="rect">
                            <a:avLst/>
                          </a:prstGeom>
                          <a:noFill/>
                          <a:ln>
                            <a:noFill/>
                          </a:ln>
                        </pic:spPr>
                      </pic:pic>
                    </a:graphicData>
                  </a:graphic>
                </wp:inline>
              </w:drawing>
            </w:r>
          </w:p>
        </w:tc>
      </w:tr>
    </w:tbl>
    <w:p w:rsidR="0034055A" w:rsidRPr="007078D3" w:rsidRDefault="0034055A"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Default="00487560" w:rsidP="00ED04E8">
      <w:pPr>
        <w:rPr>
          <w:rFonts w:ascii="Times New Roman" w:hAnsi="Times New Roman" w:cs="Times New Roman"/>
          <w:szCs w:val="20"/>
        </w:rPr>
      </w:pPr>
    </w:p>
    <w:p w:rsidR="00E847A6" w:rsidRDefault="00E847A6" w:rsidP="00ED04E8">
      <w:pPr>
        <w:rPr>
          <w:rFonts w:ascii="Times New Roman" w:hAnsi="Times New Roman" w:cs="Times New Roman"/>
          <w:szCs w:val="20"/>
        </w:rPr>
      </w:pPr>
    </w:p>
    <w:p w:rsidR="00E847A6" w:rsidRDefault="00E847A6" w:rsidP="00ED04E8">
      <w:pPr>
        <w:rPr>
          <w:rFonts w:ascii="Times New Roman" w:hAnsi="Times New Roman" w:cs="Times New Roman"/>
          <w:szCs w:val="20"/>
        </w:rPr>
      </w:pPr>
    </w:p>
    <w:p w:rsidR="00E847A6" w:rsidRDefault="00E847A6" w:rsidP="00ED04E8">
      <w:pPr>
        <w:rPr>
          <w:rFonts w:ascii="Times New Roman" w:hAnsi="Times New Roman" w:cs="Times New Roman"/>
          <w:szCs w:val="20"/>
        </w:rPr>
      </w:pPr>
    </w:p>
    <w:p w:rsidR="00E847A6" w:rsidRDefault="00E847A6" w:rsidP="00ED04E8">
      <w:pPr>
        <w:rPr>
          <w:rFonts w:ascii="Times New Roman" w:hAnsi="Times New Roman" w:cs="Times New Roman"/>
          <w:szCs w:val="20"/>
        </w:rPr>
      </w:pPr>
    </w:p>
    <w:p w:rsidR="00E847A6" w:rsidRDefault="00E847A6" w:rsidP="00ED04E8">
      <w:pPr>
        <w:rPr>
          <w:rFonts w:ascii="Times New Roman" w:hAnsi="Times New Roman" w:cs="Times New Roman"/>
          <w:szCs w:val="20"/>
        </w:rPr>
      </w:pPr>
    </w:p>
    <w:p w:rsidR="00E847A6" w:rsidRDefault="00E847A6" w:rsidP="00ED04E8">
      <w:pPr>
        <w:rPr>
          <w:rFonts w:ascii="Times New Roman" w:hAnsi="Times New Roman" w:cs="Times New Roman"/>
          <w:szCs w:val="20"/>
        </w:rPr>
      </w:pPr>
    </w:p>
    <w:p w:rsidR="00E847A6" w:rsidRDefault="00E847A6" w:rsidP="00ED04E8">
      <w:pPr>
        <w:rPr>
          <w:rFonts w:ascii="Times New Roman" w:hAnsi="Times New Roman" w:cs="Times New Roman"/>
          <w:szCs w:val="20"/>
        </w:rPr>
      </w:pPr>
    </w:p>
    <w:p w:rsidR="00E847A6" w:rsidRPr="007078D3" w:rsidRDefault="00E847A6"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E847A6" w:rsidRPr="007078D3" w:rsidRDefault="00E847A6" w:rsidP="00E847A6">
      <w:pPr>
        <w:pStyle w:val="Bezodstpw"/>
        <w:spacing w:line="240" w:lineRule="auto"/>
        <w:rPr>
          <w:rFonts w:ascii="Times New Roman" w:hAnsi="Times New Roman" w:cs="Times New Roman"/>
          <w:sz w:val="20"/>
          <w:szCs w:val="20"/>
          <w:lang w:eastAsia="pl-PL"/>
        </w:rPr>
      </w:pPr>
      <w:bookmarkStart w:id="1301" w:name="_Toc178934399"/>
      <w:bookmarkStart w:id="1302" w:name="_Toc221170393"/>
      <w:r w:rsidRPr="007078D3">
        <w:rPr>
          <w:rFonts w:ascii="Times New Roman" w:hAnsi="Times New Roman" w:cs="Times New Roman"/>
          <w:sz w:val="20"/>
          <w:szCs w:val="20"/>
          <w:lang w:eastAsia="pl-PL"/>
        </w:rPr>
        <w:lastRenderedPageBreak/>
        <w:t>D-07.01.01a OZNAKOWANIE  POZIOME</w:t>
      </w:r>
      <w:bookmarkEnd w:id="1301"/>
      <w:bookmarkEnd w:id="1302"/>
    </w:p>
    <w:p w:rsidR="00E847A6" w:rsidRPr="007078D3" w:rsidRDefault="00E847A6" w:rsidP="00E847A6">
      <w:pPr>
        <w:rPr>
          <w:rFonts w:ascii="Times New Roman" w:hAnsi="Times New Roman" w:cs="Times New Roman"/>
          <w:szCs w:val="20"/>
        </w:rPr>
      </w:pPr>
      <w:bookmarkStart w:id="1303" w:name="_Toc131919910"/>
      <w:r w:rsidRPr="007078D3">
        <w:rPr>
          <w:rFonts w:ascii="Times New Roman" w:hAnsi="Times New Roman" w:cs="Times New Roman"/>
          <w:szCs w:val="20"/>
        </w:rPr>
        <w:t>1. WSTĘP</w:t>
      </w:r>
      <w:bookmarkEnd w:id="1303"/>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1.1. Przedmiot SST</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ab/>
        <w:t>Przedmiotem niniejszej ogólnej specyfikacji technicznej (SST) są wymagania dotyczące wykonania i odbioru oznakowania poziomego dróg.</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1.2. Zakres stosowania SST</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Szczegółowa specyfikacja techniczna dotyczy robót wyszczególnionych w punkcie 1.3.</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1.3. Zakres robót objętych SST</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ab/>
        <w:t>Ustalenia zawarte w niniejszej specyfikacji dotyczą zasad prowadzenia robót związanych z wykonywaniem i odbiorem oznakowania poziomego stosowanego na drogach o nawierzchni twardej.</w:t>
      </w:r>
    </w:p>
    <w:p w:rsidR="00E847A6" w:rsidRPr="007078D3" w:rsidRDefault="00E847A6" w:rsidP="00E847A6">
      <w:pPr>
        <w:rPr>
          <w:rFonts w:ascii="Times New Roman" w:hAnsi="Times New Roman" w:cs="Times New Roman"/>
          <w:szCs w:val="20"/>
        </w:rPr>
      </w:pP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1.4. Określenia podstawowe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Na potrzeby niniejszej specyfikacji sformułowano następujące definicje dotyczące materiałów i wykonanych nimi poziomych oznakowań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1.4.1. </w:t>
      </w:r>
      <w:r w:rsidRPr="007078D3">
        <w:rPr>
          <w:rFonts w:ascii="Times New Roman" w:hAnsi="Times New Roman" w:cs="Times New Roman"/>
          <w:color w:val="000000"/>
          <w:szCs w:val="20"/>
        </w:rPr>
        <w:t>Poziome oznakowanie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w:t>
      </w:r>
      <w:r w:rsidRPr="007078D3">
        <w:rPr>
          <w:rFonts w:ascii="Times New Roman" w:hAnsi="Times New Roman" w:cs="Times New Roman"/>
          <w:b/>
          <w:bCs/>
          <w:color w:val="000000"/>
          <w:szCs w:val="20"/>
        </w:rPr>
        <w:t>-</w:t>
      </w:r>
      <w:r w:rsidRPr="007078D3">
        <w:rPr>
          <w:rFonts w:ascii="Times New Roman" w:hAnsi="Times New Roman" w:cs="Times New Roman"/>
          <w:color w:val="000000"/>
          <w:szCs w:val="20"/>
        </w:rPr>
        <w:t> oznakowanie wykonane na nawierzchni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kołowych przez malowanie, nakładanie, naklejanie lub za pomocą innej metody aplikacji w postaci znaków podłużnych, poprzecznych, strzałek, znaków uzupełniających, punktowych elementów odblaskowych i separatorów ruchu, a także napisów i symboli na nawierzchni drogi [10]. Poziome oznakowanie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jest stosowane do kierowania ruchem albo osobno, albo w połączeniu ze znakami pionowymi i urządzeniami bezpieczeństwa ruchu. Może mieć znaczenie prowadzące, segregujące, informujące, ostrzegawcze, zakazujące lub nakazujące [11].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1.4.1.1. Oznakowanie stałe - oznakowanie przeznaczone do stałego użytku, tylko barwy białej; inne barwy występują na przejściach dla pieszych i ścieżkach rowerowych.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1.4.1.2. Oznakowanie tymczasowe - oznakowanie barwy żółtej, które zostało wykonane do tymczasowego kierowania ruchem, np. przy zmianie organizacji ruchu, na terenie budowy lub tymczasowo na nowej nawierzchni, którego czas użytkowania wynosi do 3 miesięcy lub do czasu zakończenia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1.4.1.3. Oznakowanie typu I - oznakowanie płaskie o pełnym wypełnieniu linii nie koniecznie zapewniające widoczność w nocy w stanie wilgotnym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1.4.1.4. Oznakowanie typu II - oznakowanie, które zostało tak ukształtowane lub które ma takie właściwości, że zapewnia odpowiednią odblaskowość (widoczność w nocy) również po zwilżeniu wodą. Zaliczamy tu oznakowania strukturalne i posypane dużymi kulkami szklanymi.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1.4.1.5. Oznakowanie akustyczne - oznakowanie różniące się od normalnego, płaskiego, gładkiego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Wykonane masą termoplastyczną, także masą chemoutwardzalną przez nakładanie poprzecznych wałeczków (użebrowania), lub wykonane w inny sposób, które wytwarza dźwięk i/lub drgania podczas przejeżdżania przez pojazdy.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1.4.1.6.</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Oznakowanie pomocnicze – </w:t>
      </w:r>
      <w:r w:rsidRPr="007078D3">
        <w:rPr>
          <w:rStyle w:val="spelle"/>
          <w:rFonts w:ascii="Times New Roman" w:hAnsi="Times New Roman" w:cs="Times New Roman"/>
          <w:color w:val="000000"/>
          <w:szCs w:val="20"/>
        </w:rPr>
        <w:t>przedznakowanie</w:t>
      </w:r>
      <w:r w:rsidRPr="007078D3">
        <w:rPr>
          <w:rFonts w:ascii="Times New Roman" w:hAnsi="Times New Roman" w:cs="Times New Roman"/>
          <w:color w:val="000000"/>
          <w:szCs w:val="20"/>
        </w:rPr>
        <w:t> (trasowanie) - oznakowanie wykonywane rozcieńczoną farbą, kredą lub w inny sposób, kierujące właściwym, poziomym znakowaniem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Oznakowanie pomocnicze jest nietrwałe i nie jest</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przeznaczone do kierowania ruchem.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1.4.2. </w:t>
      </w:r>
      <w:r w:rsidRPr="007078D3">
        <w:rPr>
          <w:rFonts w:ascii="Times New Roman" w:hAnsi="Times New Roman" w:cs="Times New Roman"/>
          <w:color w:val="000000"/>
          <w:szCs w:val="20"/>
        </w:rPr>
        <w:t>Znaki podłużne - linie równoległe do osi jezdni lub odchylone od niej pod niewielkim kątem, występujące jako linie: – pojedyncze: przerywane lub ciągłe, segregacyjne lub krawędziowe, – podwójne: ciągłe z przerywanymi, ciągłe lub przerywane.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1.4.3. </w:t>
      </w:r>
      <w:r w:rsidRPr="007078D3">
        <w:rPr>
          <w:rFonts w:ascii="Times New Roman" w:hAnsi="Times New Roman" w:cs="Times New Roman"/>
          <w:color w:val="000000"/>
          <w:szCs w:val="20"/>
        </w:rPr>
        <w:t>Znaki poprzeczne - znaki służące do oznaczenia miejsc przeznaczonych do ruchu pieszych i rowerzystów w poprzek drogi, miejsc wymagających zatrzymania pojazdów oraz miejsc lokalizacji progów zwalniających.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1.4.4. </w:t>
      </w:r>
      <w:r w:rsidRPr="007078D3">
        <w:rPr>
          <w:rFonts w:ascii="Times New Roman" w:hAnsi="Times New Roman" w:cs="Times New Roman"/>
          <w:color w:val="000000"/>
          <w:szCs w:val="20"/>
        </w:rPr>
        <w:t>Strzałki - znaki poziome na nawierzchni, występujące jako strzałki kierunkowe służące do wskazania dozwolonego kierunku zjazdu z pasa oraz strzałki naprowadzające, które uprzedzają o konieczności opuszczenia pasa, na którym się znajdują.</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1.4.5. </w:t>
      </w:r>
      <w:r w:rsidRPr="007078D3">
        <w:rPr>
          <w:rFonts w:ascii="Times New Roman" w:hAnsi="Times New Roman" w:cs="Times New Roman"/>
          <w:color w:val="000000"/>
          <w:szCs w:val="20"/>
        </w:rPr>
        <w:t>Znaki uzupełniające - znaki o różnych kształtach, wymiarach i przeznaczeniu, występujące w postaci symboli, napisów, linii przystankowych, stanowisk i pasów postojowych, powierzchni wyłączonych z ruchu oraz symboli znaków pionowych w oznakowaniu poziomym.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1.4.6. </w:t>
      </w:r>
      <w:r w:rsidRPr="007078D3">
        <w:rPr>
          <w:rFonts w:ascii="Times New Roman" w:hAnsi="Times New Roman" w:cs="Times New Roman"/>
          <w:color w:val="000000"/>
          <w:szCs w:val="20"/>
        </w:rPr>
        <w:t>Materiały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 materiały zawierające rozpuszczalniki, wolne od rozpuszczalników lub punktowe elementy odblaskowe, które mogą zostać naniesione albo wbudowane przez malowanie, natryskiwanie, odlewanie, wytłaczanie, rolowanie, klejenie itp. na nawierzchnie drogowe, stosowane w temperaturze otoczenia lub w temperaturze podwyższonej. Materiały te powinny posiadać właściwości odblaskowe.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1.4.6.1. Farba - ciekły wyrób, który zawiera rozpuszczone lub wymieszane w rozpuszczalniku organicznym lub wodzie substancje stałe. Farba może być wyrobem jedno- lub wieloskładnikowym. Farba po naniesieniu na nawierzchnię drogi pędzlem, wałkiem, przez natrysk lub przy pomocy innej, metody, tworzy warstwę kohezyjną na skutek wyparowywania rozpuszczalnika lub w wyniku zajścia reakcji chemicznej.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1.4.6.2. Masa termoplastyczna - niezawierająca rozpuszczalnika substancja do znakowania, która jest dostarczana w postaci stałej, granulowanej lub sproszkowanej. Substancję topi się przez podgrzanie, a następnie rozprowadza ręcznie, mechanicznie </w:t>
      </w:r>
      <w:r w:rsidRPr="007078D3">
        <w:rPr>
          <w:rStyle w:val="spelle"/>
          <w:rFonts w:ascii="Times New Roman" w:hAnsi="Times New Roman" w:cs="Times New Roman"/>
          <w:color w:val="000000"/>
          <w:szCs w:val="20"/>
        </w:rPr>
        <w:t>ekstruderem</w:t>
      </w:r>
      <w:r w:rsidRPr="007078D3">
        <w:rPr>
          <w:rFonts w:ascii="Times New Roman" w:hAnsi="Times New Roman" w:cs="Times New Roman"/>
          <w:color w:val="000000"/>
          <w:szCs w:val="20"/>
        </w:rPr>
        <w:t> lub natryskowo. Po ostygnięciu masa tworzy spójne oznakowanie. Występuje także w postaci prefabrykowanej w postaci arkuszy, które są wbudowywane przez stopienie palnikiem.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1.4.6.3. Masa chemoutwardzalna - ciekła substancja do znakowania, która jest dostarczana w formie dwu- lub wieloskładnikowej. Zależnie od metody, części składowe masy miesza się w różnych proporcjach, a wyrób nanosi się za pomocą odpowiedniej powlekarki lub ręcznie. Ostatecznie oznakowanie powstaje po zajściu reakcji chemicznej.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1.4.6.4. Oznakowanie drogowe zestaw - podstawowy materiał do oznakowania poziomego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tj. farba, masa chemoutwardzalna lub termoplastyczna, łącznie z rodzajem i ilością dozowanych materiałów do posypywania potrzebnych do utworzenia oznakowania drogi. Zmiana proporcji lub rodzaju składników tworzy nowy zestaw wyrobu.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1.4.6.5. Prefabrykowane oznakowanie drogowe - wyrób lub system oznakowania drogi wytworzony u producenta w postaci arkuszy lub zrolowany, które może zostać zaaplikowany na nawierzchni przez naklejenie, wprasowanie, wtapianie lub przez ich kombinację. Do materiałów prefabrykowanych zaliczamy taśmy samoprzylepne, prefabrykaty z mas chemoutwardzalnych, z mas termoplastycznych bez kulek szklanych i z kulkami szklanymi.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1.4.6.6. Taśma odblaskowa - wyrób prefabrykowany wielowarstwowy w postaci taśmy o powierzchni gładkiej lub profilowanej, pokrytej kulkami szklanymi, ceramicznymi i kruszywami antypoślizgowymi dopasowujący się do tekstury nawierzchni. Taśmy są naklejane na nawierzchnię zagruntowaną klejem lub świeżo po ułożeniu (jeszcze ciepłą) przez docisk mechaniczny. Właściwości fotometryczne, kolorymetryczne i przeciwpoślizgowe taśmy po naklejeniu nie ulegają istotnej zmianie [2].</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1.4.7.</w:t>
      </w:r>
      <w:r w:rsidRPr="007078D3">
        <w:rPr>
          <w:rFonts w:ascii="Times New Roman" w:hAnsi="Times New Roman" w:cs="Times New Roman"/>
          <w:color w:val="000000"/>
          <w:szCs w:val="20"/>
        </w:rPr>
        <w:t> Oznakowanie cienkowarstwowe – oznakowanie nakładane warstwą grubości od 0,30 mm do 0,89 mm, mierzoną na mokro, wykonywane farbami rozpuszczalnikowymi, wodorozcieńczalnymi i chemoutwardzalnymi.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1.4.8.</w:t>
      </w:r>
      <w:r w:rsidRPr="007078D3">
        <w:rPr>
          <w:rFonts w:ascii="Times New Roman" w:hAnsi="Times New Roman" w:cs="Times New Roman"/>
          <w:color w:val="000000"/>
          <w:szCs w:val="20"/>
        </w:rPr>
        <w:t> Oznakowanie średniowarstwowe – oznakowanie nakładane warstwą grubości od 0,60 mm do 1,50 mm wykonywane masami chemoutwardzalnymi i masami termoplastycznymi do natrysku.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1.4.9.</w:t>
      </w:r>
      <w:r w:rsidRPr="007078D3">
        <w:rPr>
          <w:rFonts w:ascii="Times New Roman" w:hAnsi="Times New Roman" w:cs="Times New Roman"/>
          <w:color w:val="000000"/>
          <w:szCs w:val="20"/>
        </w:rPr>
        <w:t> Oznakowanie grubowarstwowe – oznakowanie nakładane warstwą grubości od 0,90 mm do 3,50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 Wyjątkowo linie strukturalne i profilowane mogą być nakładane warstwą do 5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 Oznakowanie grubowarstwowe jest wykonywane masami termoplastycznymi, masami chemoutwardzalnymi i taśmami.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1.4.10. </w:t>
      </w:r>
      <w:r w:rsidRPr="007078D3">
        <w:rPr>
          <w:rFonts w:ascii="Times New Roman" w:hAnsi="Times New Roman" w:cs="Times New Roman"/>
          <w:color w:val="000000"/>
          <w:szCs w:val="20"/>
        </w:rPr>
        <w:t>Punktowe elementy odblaskowe (odblaski </w:t>
      </w:r>
      <w:r w:rsidRPr="007078D3">
        <w:rPr>
          <w:rStyle w:val="spelle"/>
          <w:rFonts w:ascii="Times New Roman" w:hAnsi="Times New Roman" w:cs="Times New Roman"/>
          <w:color w:val="000000"/>
          <w:szCs w:val="20"/>
        </w:rPr>
        <w:t>najezdniowe</w:t>
      </w:r>
      <w:r w:rsidRPr="007078D3">
        <w:rPr>
          <w:rFonts w:ascii="Times New Roman" w:hAnsi="Times New Roman" w:cs="Times New Roman"/>
          <w:color w:val="000000"/>
          <w:szCs w:val="20"/>
        </w:rPr>
        <w:t>) - naklejana, kotwiczona lub wbudowywana w nawierzchnię płytka z materiału wytrzymującego przejazdy pojazdów samochodowych, zawierająca element odblaskowy umieszczony w ten sposób, aby zapewniał widzialność w nocy, a także w czasie opadów deszczu. Punktowe elementy odblaskowe służą do prowadzenia poziomego pojazdów, mogą być jednostronne, dwustronne lub wielokierunkowe, trwałe (białe) - typ P i tymczasowe (żółte) - typ T oraz sztywne i uginające się, tj. składające się z kilku części, z których jedna jest elastyczna i powraca do poprzedniego kształtu po przejechaniu przez pojazd [4].</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Wyróżnia się punktowe elementy aktywne, z zainstalowanymi pulsującymi diodami LED, wzmacniającymi ostrzeganie, prowadzenie i informowanie użytkowników drogi.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1.4.11. </w:t>
      </w:r>
      <w:r w:rsidRPr="007078D3">
        <w:rPr>
          <w:rFonts w:ascii="Times New Roman" w:hAnsi="Times New Roman" w:cs="Times New Roman"/>
          <w:color w:val="000000"/>
          <w:szCs w:val="20"/>
        </w:rPr>
        <w:t>Kulki szklane – materiał w postaci przezroczystych, kulistych cząstek szklanych do posypywania lub narzucania pod ciśnieniem na świeżo wykonane farbami lub masami oznakowanie w celu uzyskania widzialności oznakowania w nocy przez odbicie powrotne padającej wiązki świateł pojazdu w kierunku kierowcy. Kulki szklane są także składnikami materiałów grubowarstwowych.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1.4.12. </w:t>
      </w:r>
      <w:r w:rsidRPr="007078D3">
        <w:rPr>
          <w:rFonts w:ascii="Times New Roman" w:hAnsi="Times New Roman" w:cs="Times New Roman"/>
          <w:color w:val="000000"/>
          <w:szCs w:val="20"/>
        </w:rPr>
        <w:t>Materiał </w:t>
      </w:r>
      <w:r w:rsidRPr="007078D3">
        <w:rPr>
          <w:rStyle w:val="spelle"/>
          <w:rFonts w:ascii="Times New Roman" w:hAnsi="Times New Roman" w:cs="Times New Roman"/>
          <w:color w:val="000000"/>
          <w:szCs w:val="20"/>
        </w:rPr>
        <w:t>uszorstniający</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(kruszywo przeciwpoślizgowe) – naturalne lub sztuczne twarde kruszywo stosowane w celu zapewnienia oznakowaniu drogi odpowiedniej szorstkości (właściwości antypoślizgowych) stosowane samo lub w mieszaninie z kulkami szklanymi.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1.4.13. </w:t>
      </w:r>
      <w:r w:rsidRPr="007078D3">
        <w:rPr>
          <w:rFonts w:ascii="Times New Roman" w:hAnsi="Times New Roman" w:cs="Times New Roman"/>
          <w:color w:val="000000"/>
          <w:szCs w:val="20"/>
        </w:rPr>
        <w:t xml:space="preserve">Pozostałe określenia podstawowe są zgodne z obowiązującymi, odpowiednimi polskimi normami i z definicjami podanymi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1.4.</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1.5. Ogólne wymagania dotyczące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1.5.</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04" w:name="_Toc505849075"/>
      <w:r w:rsidRPr="007078D3">
        <w:rPr>
          <w:rFonts w:ascii="Times New Roman" w:hAnsi="Times New Roman"/>
          <w:caps/>
          <w:color w:val="000000"/>
          <w:szCs w:val="20"/>
        </w:rPr>
        <w:t>2. MATERIAŁY</w:t>
      </w:r>
      <w:bookmarkEnd w:id="1304"/>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 Ogólne wymagania dotyczące materiałów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materiałów, ich pozyskiwania i składowania,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2.</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2.2. Dokument dopuszczający do stosowania materiałów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Jeśli wyrób budowlany, w tym materiał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objęty jest normą zharmonizowaną lub jest zgodny z wydaną dla niego europejską oceną, producent może sporządzić deklarację właściwości użytkowych, oznakować wyrób znakiem CE i wprowadzić wyrób do obrotu [12]. Dotyczy to taśm do oznakowania poziomego [2], kulek szklanych [3] i punktowych elementów odblaskowych [4].</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Materiały, na które uzyskano krajową ocenę techniczną (KOT) i krajowy certyfikat stałości właściwości użytkowych, po czym wystawiono krajową deklarację właściwości użytkowych, mogą być oznakowane znakiem budowlanym i wprowadzone do obrotu [13]. Dotyczy to farb, mas chemoutwardzalnych i termoplastycznych [1].</w:t>
      </w:r>
    </w:p>
    <w:p w:rsidR="00E847A6" w:rsidRPr="007078D3" w:rsidRDefault="00E847A6" w:rsidP="00E847A6">
      <w:pPr>
        <w:pStyle w:val="Tekstpodstawowy2"/>
        <w:spacing w:after="0" w:line="240" w:lineRule="auto"/>
        <w:ind w:firstLine="709"/>
        <w:rPr>
          <w:rFonts w:ascii="Times New Roman" w:hAnsi="Times New Roman" w:cs="Times New Roman"/>
          <w:color w:val="000000"/>
          <w:szCs w:val="20"/>
        </w:rPr>
      </w:pPr>
      <w:r w:rsidRPr="007078D3">
        <w:rPr>
          <w:rFonts w:ascii="Times New Roman" w:hAnsi="Times New Roman" w:cs="Times New Roman"/>
          <w:color w:val="000000"/>
          <w:szCs w:val="20"/>
        </w:rPr>
        <w:t>Aprobaty techniczne IBDiM, wystawione przed czasem wejścia w życie rozporządzenia [13] nie mogą być zmieniane lecz zachowują ważność przez okres, na jaki zostały wydane. W tym przypadku do oznakowania wyrobu znakiem budowlanym B wystarcza krajowa deklaracja zgodności. Zgodnie z art. 4, art. 5 ust. 1 oraz art. 8 ust. 1 ustawy z dnia 16 kwietnia 2004 r. o wyrobach budowlanych (Dz. U. Nr 92, poz. 881, z </w:t>
      </w:r>
      <w:r w:rsidRPr="007078D3">
        <w:rPr>
          <w:rStyle w:val="spelle"/>
          <w:rFonts w:ascii="Times New Roman" w:hAnsi="Times New Roman" w:cs="Times New Roman"/>
          <w:color w:val="000000"/>
          <w:szCs w:val="20"/>
        </w:rPr>
        <w:t>późn</w:t>
      </w:r>
      <w:r w:rsidRPr="007078D3">
        <w:rPr>
          <w:rFonts w:ascii="Times New Roman" w:hAnsi="Times New Roman" w:cs="Times New Roman"/>
          <w:color w:val="000000"/>
          <w:szCs w:val="20"/>
        </w:rPr>
        <w:t>. zmianami) [14] wyrób, którego dotyczy Aprobata Techniczna IBDiM wydana przed 1 stycznia 2017 r., może być wprowadzony do obrotu i stosowania przy wykonywaniu robót budowlanych w zakresie odpowiadającym jego właściwościom użytkowym i przeznaczeniu, jeżeli producent dokonał oceny zgodności, wydał krajową deklarację właściwości użytkowych i oznakował wyrób znakiem budowlanym, zgodnie z obowiązującymi wtedy przepisami.</w:t>
      </w:r>
    </w:p>
    <w:p w:rsidR="00E847A6" w:rsidRPr="007078D3" w:rsidRDefault="00E847A6" w:rsidP="00E847A6">
      <w:pPr>
        <w:pStyle w:val="Tekstpodstawowy2"/>
        <w:spacing w:after="0" w:line="240" w:lineRule="auto"/>
        <w:ind w:firstLine="709"/>
        <w:rPr>
          <w:rFonts w:ascii="Times New Roman" w:hAnsi="Times New Roman" w:cs="Times New Roman"/>
          <w:color w:val="000000"/>
          <w:szCs w:val="20"/>
        </w:rPr>
      </w:pPr>
      <w:r w:rsidRPr="007078D3">
        <w:rPr>
          <w:rFonts w:ascii="Times New Roman" w:hAnsi="Times New Roman" w:cs="Times New Roman"/>
          <w:color w:val="000000"/>
          <w:szCs w:val="20"/>
        </w:rPr>
        <w:lastRenderedPageBreak/>
        <w:t>Wyroby dla których wydano krajową ocenę techniczną (KOT) po 1 stycznia 2017 r., zastępującą aprobatę techniczną, zgodnie z rozporządzeniem Ministra Infrastruktury i Budownictwa z dnia 17 listopada 2016 r. w sprawie krajowych ocen technicznych [15] i dokonano oceny i weryfikacji stałości właściwości użytkowych, powinny posiadać wystawioną przez producenta krajową deklarację właściwości użytkowych zgodnie z ustawą z 13 kwietnia 2016 r. [16] zawierającą ustalenia wprowadzone Rozporządzeniem Parlamentu Europejskiego i Rady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305/2011 z dnia 9 marca 2011 r.[12].</w:t>
      </w:r>
    </w:p>
    <w:p w:rsidR="00E847A6" w:rsidRPr="007078D3" w:rsidRDefault="00E847A6" w:rsidP="00E847A6">
      <w:pPr>
        <w:pStyle w:val="Tekstprzypisudolnego"/>
        <w:spacing w:before="0" w:beforeAutospacing="0" w:after="0" w:afterAutospacing="0"/>
        <w:jc w:val="both"/>
        <w:rPr>
          <w:color w:val="000000"/>
          <w:sz w:val="20"/>
          <w:szCs w:val="20"/>
        </w:rPr>
      </w:pPr>
      <w:r w:rsidRPr="007078D3">
        <w:rPr>
          <w:color w:val="000000"/>
          <w:sz w:val="20"/>
          <w:szCs w:val="20"/>
        </w:rPr>
        <w:t>            Powyższe zasady należy stosować także do oznakowań tymczasowych wykonywanych materiałami o barwie żółtej.</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2.3. Badanie materiałów, których jakość budzi wątpliwość</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Wykonawca powinien przeprowadzić dodatkowe badania tych materiałów, które budzą wątpliwości jego lub Inżyniera, co do jakości, w celu stwierdzenia czy odpowiadają one wymaganiom określonym w aprobacie technicznej, krajowej ocenie technicznej lub zharmonizowanej normie. Badania te Wykonawca zleca akredytowanemu laboratorium drogowemu np. IBDiM lub innemu uznanemu laboratorium. Badania powinny być wykonane zgodnie z aktualnymi normami lub z Vademecum [17].</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2.4. Oznakowanie opakowań</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Wyrób budowlany, w tym materiały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należy oznakować znakiem budowlanym zgodnie z rozporządzeniem Ministra Infrastruktury z dnia 11 sierpnia 2004 r. w sprawie sposobów deklarowania zgodności wyrobów budowlanych oraz sposobu znakowania ich znakiem budowlanym (Dz. U. Nr 198, poz. 2041 z </w:t>
      </w:r>
      <w:r w:rsidRPr="007078D3">
        <w:rPr>
          <w:rStyle w:val="spelle"/>
          <w:rFonts w:ascii="Times New Roman" w:hAnsi="Times New Roman" w:cs="Times New Roman"/>
          <w:color w:val="000000"/>
          <w:szCs w:val="20"/>
        </w:rPr>
        <w:t>późn</w:t>
      </w:r>
      <w:r w:rsidRPr="007078D3">
        <w:rPr>
          <w:rFonts w:ascii="Times New Roman" w:hAnsi="Times New Roman" w:cs="Times New Roman"/>
          <w:color w:val="000000"/>
          <w:szCs w:val="20"/>
        </w:rPr>
        <w:t>. zm.). Do wyrobu budowlanego oznakowanego znakiem budowlanym producent powinien dołączyć informację zawierającą: [13].</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dwie ostatnie cyfry roku, w którym znak budowlany został po raz pierwszy umieszczony na wyrobie budowlanym;</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nazwa i adres siedziby producenta lub znak identyfikacyjny pozwalający jednoznacznie określić nazwę i adres siedziby producenta;</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nazwa i oznaczenie typu wyrobu budowlanego;</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numer referencyjny Polskiej Normy lub numer i rok wydania krajowej oceny technicznej lub aprobaty technicznej IBDiM wydanej przed 1.01.2017 r., zgodnie z którą zostały zadeklarowane właściwości użytkowe;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numer krajowej deklaracji;</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poziom lub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zadeklarowanych właściwości użytkowych;</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nazwa jednostki certyfikującej, jeżeli taka jednostka uczestniczyła w ocenie i weryfikacji stałości właściwości użytkowych wyrobu budowlanego;</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adres strony internetowej producenta, jeżeli krajowa deklaracja jest na niej udostępniona,</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masę netto lub ilość w opakowaniu,</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datę produkcji i okres przydatności do stosowania,</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kartę charakterystyki.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Informację należy dołączyć do wyrobu budowlanego w sposób umożliwiający zapoznanie się z nią przez stosującego ten wyrób.</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farb rozpuszczalnikowych i wyrobów chemoutwardzalnych oznakowanie opakowania powinno być zgodne z rozporządzeniem Ministra Zdrowia [18].</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oznakowania wyrobu znakiem CE producent powinien dołączyć dokument zawierający niezbędne informacje określone w odpowiedniej zharmonizowanej normie lub europejskiej ocenie technicznej.</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2.5. Przepisy określające wymagania dla materiałów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Podstawowe wymagania dotyczące materiałów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podano w punkcie 2.6, a szczegółowe wymagania i metody badań zawarte są w Vademecum [17].</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Zgodnie z rozporządzeniem Ministra Infrastruktury w sprawie sposobu deklarowania właściwości użytkowych wyrobów budowlanych oraz sposobu ich znakowania znakiem budowlanym [13], producent materiału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deklaruje właściwości użytkowe stosując system 1. W przypadku systemu 1 oceny zgodności producent może wystawić krajową deklarację właściwości użytkowych jeżeli akredytowana jednostka certyfikująca wydała krajowy certyfikat stałości właściwości użytkowych na podstawie normy zharmonizowanej lub krajowej oceny technicznej.</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2.6. Wymagania pod względem grubości nakładanej warstwy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2.6.1. </w:t>
      </w:r>
      <w:r w:rsidRPr="007078D3">
        <w:rPr>
          <w:rFonts w:ascii="Times New Roman" w:hAnsi="Times New Roman" w:cs="Times New Roman"/>
          <w:color w:val="000000"/>
          <w:szCs w:val="20"/>
        </w:rPr>
        <w:t> Materiały do oznakowań cienkowarstwowych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Materiałami do wykonywania oznakowania cienkowarstwowego powinny być farby nakładane warstwą grubości od 0,30 mm do 0,89 mm (na mokro). Powinny to być ciekłe produkty zawierające ciała stałe zdyspergowane w roztworze żywicy syntetycznej w rozpuszczalniku organicznym lub w wodzie, które mogą występować w układach jedno- lub wieloskładnikowych.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Podczas nakładania farb, do znakowania cienkowarstwowego, na nawierzchnię pędzlem, wałkiem lub przez natrysk, powinny one tworzyć warstwę kohezyjną w procesie odparowania i/lub w procesie chemicznym.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Właściwości fizyczne poszczególnych materiałów do poziomego oznakowania powinny być określone w krajowej deklaracji właściwości użytkowych.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2.6.2. </w:t>
      </w:r>
      <w:r w:rsidRPr="007078D3">
        <w:rPr>
          <w:rFonts w:ascii="Times New Roman" w:hAnsi="Times New Roman" w:cs="Times New Roman"/>
          <w:color w:val="000000"/>
          <w:szCs w:val="20"/>
        </w:rPr>
        <w:t> Materiały do oznakowań średniowarstwowych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 wykonywania oznakowania średniowarstwowego powinny być stosowane materiały umożliwiające nakładanie ich warstwą grubości od 0,60 mm do 1,50 mm takie jak natryskiwane masy chemoutwardzalne i termoplastyczne.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2.6.3. </w:t>
      </w:r>
      <w:r w:rsidRPr="007078D3">
        <w:rPr>
          <w:rFonts w:ascii="Times New Roman" w:hAnsi="Times New Roman" w:cs="Times New Roman"/>
          <w:color w:val="000000"/>
          <w:szCs w:val="20"/>
        </w:rPr>
        <w:t>Materiały do oznakowań grubowarstwowych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Materiałami do wykonywania oznakowania grubowarstwowego powinny być materiały umożliwiające nakładanie ich warstwą grubości od 0,90 mm do 5 mm, takie jak masy chemoutwardzalne stosowane na zimno oraz masy termoplastyczne.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Masy chemoutwardzalne powinny być substancjami jedno-, dwu- lub trójskładnikowymi, mieszanymi ze sobą w proporcjach ustalonych przez producenta i nakładanymi na nawierzchnię z użyciem odpowiedniego sprzętu. Masy te powinny tworzyć powłokę, której spójność zapewnia jedynie reakcja chemiczna.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Masy termoplastyczne powinny być substancjami nie zawierającymi rozpuszczalników, dostarczanymi w postaci bloków, granulek lub proszku. Przy stosowaniu powinny dać się podgrzewać do stopienia i aplikować ręcznie lub maszynowo. Masy te powinny tworzyć spójną warstwę przez ochłodzenie.</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2.7. Wymagania podstawowe dotyczące materiałów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Materiałom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i tworzonym przez nie powłokom stawiane są wymagania odnośnie właściwości fizycznych i chemicznych, zapewniające prawidłową aplikację na nawierzchni drogi. W tablicach 1 i 2 zawarto podstawowe wymagania dotyczące materiałów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Metody badań są opisane w Vademecum [17].</w:t>
      </w:r>
    </w:p>
    <w:p w:rsidR="00E847A6" w:rsidRPr="007078D3" w:rsidRDefault="00E847A6" w:rsidP="00E847A6">
      <w:pPr>
        <w:ind w:left="993" w:hanging="993"/>
        <w:rPr>
          <w:rFonts w:ascii="Times New Roman" w:hAnsi="Times New Roman" w:cs="Times New Roman"/>
          <w:color w:val="000000"/>
          <w:szCs w:val="20"/>
        </w:rPr>
      </w:pPr>
      <w:r w:rsidRPr="007078D3">
        <w:rPr>
          <w:rFonts w:ascii="Times New Roman" w:hAnsi="Times New Roman" w:cs="Times New Roman"/>
          <w:color w:val="000000"/>
          <w:szCs w:val="20"/>
        </w:rPr>
        <w:t>Tablica 1. Podstawowe wymagania odnośnie materiałów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Klasy właściwości wg [8]</w:t>
      </w:r>
    </w:p>
    <w:tbl>
      <w:tblPr>
        <w:tblW w:w="8789" w:type="dxa"/>
        <w:tblInd w:w="70" w:type="dxa"/>
        <w:shd w:val="clear" w:color="auto" w:fill="EAEAEA"/>
        <w:tblCellMar>
          <w:left w:w="0" w:type="dxa"/>
          <w:right w:w="0" w:type="dxa"/>
        </w:tblCellMar>
        <w:tblLook w:val="04A0"/>
      </w:tblPr>
      <w:tblGrid>
        <w:gridCol w:w="773"/>
        <w:gridCol w:w="4330"/>
        <w:gridCol w:w="1134"/>
        <w:gridCol w:w="2552"/>
      </w:tblGrid>
      <w:tr w:rsidR="00E847A6" w:rsidRPr="00EF535A" w:rsidTr="007E50B3">
        <w:trPr>
          <w:tblHeader/>
        </w:trPr>
        <w:tc>
          <w:tcPr>
            <w:tcW w:w="773" w:type="dxa"/>
            <w:tcBorders>
              <w:top w:val="single" w:sz="8" w:space="0" w:color="auto"/>
              <w:left w:val="single" w:sz="8" w:space="0" w:color="auto"/>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4330"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Właściwość farby</w:t>
            </w:r>
          </w:p>
        </w:tc>
        <w:tc>
          <w:tcPr>
            <w:tcW w:w="1134"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Jednostki</w:t>
            </w:r>
          </w:p>
        </w:tc>
        <w:tc>
          <w:tcPr>
            <w:tcW w:w="2552"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Wymaganie</w:t>
            </w:r>
          </w:p>
        </w:tc>
      </w:tr>
      <w:tr w:rsidR="00E847A6" w:rsidRPr="00EF535A" w:rsidTr="007E50B3">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1</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Zawartość rozpuszczalników organicznych* i ich skład</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(m/m)</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£ 25</w:t>
            </w:r>
          </w:p>
        </w:tc>
      </w:tr>
      <w:tr w:rsidR="00E847A6" w:rsidRPr="00EF535A" w:rsidTr="007E50B3">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2</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Zawartość węglowodorów aromatycznych w farbach rozpuszczalnikowych</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(m/m)</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£ 8</w:t>
            </w:r>
          </w:p>
        </w:tc>
      </w:tr>
      <w:tr w:rsidR="00E847A6" w:rsidRPr="00EF535A" w:rsidTr="007E50B3">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3</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Czas schnięcia warstwy o grubości 400 </w:t>
            </w:r>
            <w:r w:rsidRPr="00EF535A">
              <w:rPr>
                <w:rStyle w:val="spelle"/>
                <w:rFonts w:ascii="Times New Roman" w:hAnsi="Times New Roman" w:cs="Times New Roman"/>
                <w:sz w:val="18"/>
                <w:szCs w:val="18"/>
              </w:rPr>
              <w:t>μm</w:t>
            </w:r>
            <w:r w:rsidRPr="00EF535A">
              <w:rPr>
                <w:rFonts w:ascii="Times New Roman" w:hAnsi="Times New Roman" w:cs="Times New Roman"/>
                <w:sz w:val="18"/>
                <w:szCs w:val="18"/>
              </w:rPr>
              <w:t> (bez śladów na powłoce) w temperaturze 23°C ± 2°C</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minuta</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£ 30</w:t>
            </w:r>
          </w:p>
        </w:tc>
      </w:tr>
      <w:tr w:rsidR="00E847A6" w:rsidRPr="00EF535A" w:rsidTr="007E50B3">
        <w:trPr>
          <w:trHeight w:val="564"/>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4</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Czas urabialności po zmieszaniu z </w:t>
            </w:r>
            <w:r w:rsidRPr="00EF535A">
              <w:rPr>
                <w:rStyle w:val="spelle"/>
                <w:rFonts w:ascii="Times New Roman" w:hAnsi="Times New Roman" w:cs="Times New Roman"/>
                <w:sz w:val="18"/>
                <w:szCs w:val="18"/>
              </w:rPr>
              <w:t>utwar-dzaczem</w:t>
            </w:r>
            <w:r w:rsidRPr="00EF535A">
              <w:rPr>
                <w:rFonts w:ascii="Times New Roman" w:hAnsi="Times New Roman" w:cs="Times New Roman"/>
                <w:sz w:val="18"/>
                <w:szCs w:val="18"/>
              </w:rPr>
              <w:t> (tylko masy chemoutwardzalne)</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minuta</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5 do 20</w:t>
            </w:r>
          </w:p>
        </w:tc>
      </w:tr>
      <w:tr w:rsidR="00E847A6" w:rsidRPr="00EF535A" w:rsidTr="007E50B3">
        <w:trPr>
          <w:trHeight w:val="613"/>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5</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Wskaźnik szorstkości (próbka na podłożu gładkim)</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de-DE"/>
              </w:rPr>
              <w:t>SRT</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 </w:t>
            </w:r>
            <w:r w:rsidRPr="00EF535A">
              <w:rPr>
                <w:rFonts w:ascii="Times New Roman" w:hAnsi="Times New Roman" w:cs="Times New Roman"/>
                <w:sz w:val="18"/>
                <w:szCs w:val="18"/>
                <w:lang w:val="de-DE"/>
              </w:rPr>
              <w:t>30</w:t>
            </w:r>
          </w:p>
        </w:tc>
      </w:tr>
      <w:tr w:rsidR="00E847A6" w:rsidRPr="00EF535A" w:rsidTr="007E50B3">
        <w:trPr>
          <w:trHeight w:val="964"/>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6</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w:t>
            </w:r>
            <w:r w:rsidRPr="00EF535A">
              <w:rPr>
                <w:rFonts w:ascii="Times New Roman" w:hAnsi="Times New Roman" w:cs="Times New Roman"/>
                <w:i/>
                <w:iCs/>
                <w:sz w:val="18"/>
                <w:szCs w:val="18"/>
                <w:lang w:val="en-GB"/>
              </w:rPr>
              <w:t>b</w:t>
            </w:r>
            <w:r w:rsidRPr="00EF535A">
              <w:rPr>
                <w:rFonts w:ascii="Times New Roman" w:hAnsi="Times New Roman" w:cs="Times New Roman"/>
                <w:sz w:val="18"/>
                <w:szCs w:val="18"/>
              </w:rPr>
              <w:t>:</w:t>
            </w:r>
          </w:p>
          <w:p w:rsidR="00E847A6" w:rsidRPr="00EF535A" w:rsidRDefault="00E847A6" w:rsidP="007E50B3">
            <w:pPr>
              <w:ind w:left="357" w:hanging="357"/>
              <w:rPr>
                <w:rFonts w:ascii="Times New Roman" w:hAnsi="Times New Roman" w:cs="Times New Roman"/>
                <w:sz w:val="18"/>
                <w:szCs w:val="18"/>
              </w:rPr>
            </w:pPr>
            <w:r w:rsidRPr="00EF535A">
              <w:rPr>
                <w:rFonts w:ascii="Times New Roman" w:hAnsi="Times New Roman" w:cs="Times New Roman"/>
                <w:sz w:val="18"/>
                <w:szCs w:val="18"/>
              </w:rPr>
              <w:t>-        barwa biała</w:t>
            </w:r>
          </w:p>
          <w:p w:rsidR="00E847A6" w:rsidRPr="00EF535A" w:rsidRDefault="00E847A6" w:rsidP="007E50B3">
            <w:pPr>
              <w:ind w:left="357" w:hanging="357"/>
              <w:rPr>
                <w:rFonts w:ascii="Times New Roman" w:hAnsi="Times New Roman" w:cs="Times New Roman"/>
                <w:sz w:val="18"/>
                <w:szCs w:val="18"/>
              </w:rPr>
            </w:pPr>
            <w:r w:rsidRPr="00EF535A">
              <w:rPr>
                <w:rFonts w:ascii="Times New Roman" w:hAnsi="Times New Roman" w:cs="Times New Roman"/>
                <w:sz w:val="18"/>
                <w:szCs w:val="18"/>
              </w:rPr>
              <w:t>-        barwa żółta</w:t>
            </w:r>
          </w:p>
          <w:p w:rsidR="00E847A6" w:rsidRPr="00EF535A" w:rsidRDefault="00E847A6" w:rsidP="007E50B3">
            <w:pPr>
              <w:ind w:left="357" w:hanging="357"/>
              <w:rPr>
                <w:rFonts w:ascii="Times New Roman" w:hAnsi="Times New Roman" w:cs="Times New Roman"/>
                <w:sz w:val="18"/>
                <w:szCs w:val="18"/>
              </w:rPr>
            </w:pPr>
            <w:r w:rsidRPr="00EF535A">
              <w:rPr>
                <w:rFonts w:ascii="Times New Roman" w:hAnsi="Times New Roman" w:cs="Times New Roman"/>
                <w:sz w:val="18"/>
                <w:szCs w:val="18"/>
                <w:lang w:val="en-GB"/>
              </w:rPr>
              <w:t>-</w:t>
            </w:r>
            <w:r w:rsidRPr="00EF535A">
              <w:rPr>
                <w:rFonts w:ascii="Times New Roman" w:hAnsi="Times New Roman" w:cs="Times New Roman"/>
                <w:sz w:val="18"/>
                <w:szCs w:val="18"/>
              </w:rPr>
              <w:t>        barwa czerwona</w:t>
            </w:r>
          </w:p>
          <w:p w:rsidR="00E847A6" w:rsidRPr="00EF535A" w:rsidRDefault="00E847A6" w:rsidP="007E50B3">
            <w:pPr>
              <w:ind w:left="357" w:hanging="357"/>
              <w:rPr>
                <w:rFonts w:ascii="Times New Roman" w:hAnsi="Times New Roman" w:cs="Times New Roman"/>
                <w:sz w:val="18"/>
                <w:szCs w:val="18"/>
              </w:rPr>
            </w:pPr>
            <w:r w:rsidRPr="00EF535A">
              <w:rPr>
                <w:rFonts w:ascii="Times New Roman" w:hAnsi="Times New Roman" w:cs="Times New Roman"/>
                <w:sz w:val="18"/>
                <w:szCs w:val="18"/>
                <w:lang w:val="en-GB"/>
              </w:rPr>
              <w:t>-</w:t>
            </w:r>
            <w:r w:rsidRPr="00EF535A">
              <w:rPr>
                <w:rFonts w:ascii="Times New Roman" w:hAnsi="Times New Roman" w:cs="Times New Roman"/>
                <w:sz w:val="18"/>
                <w:szCs w:val="18"/>
              </w:rPr>
              <w:t>        barwa niebieska</w:t>
            </w:r>
          </w:p>
          <w:p w:rsidR="00E847A6" w:rsidRPr="00EF535A" w:rsidRDefault="00E847A6" w:rsidP="007E50B3">
            <w:pPr>
              <w:ind w:left="357" w:hanging="357"/>
              <w:rPr>
                <w:rFonts w:ascii="Times New Roman" w:hAnsi="Times New Roman" w:cs="Times New Roman"/>
                <w:sz w:val="18"/>
                <w:szCs w:val="18"/>
              </w:rPr>
            </w:pPr>
            <w:r w:rsidRPr="00EF535A">
              <w:rPr>
                <w:rFonts w:ascii="Times New Roman" w:hAnsi="Times New Roman" w:cs="Times New Roman"/>
                <w:sz w:val="18"/>
                <w:szCs w:val="18"/>
                <w:lang w:val="en-GB"/>
              </w:rPr>
              <w:t>-</w:t>
            </w:r>
            <w:r w:rsidRPr="00EF535A">
              <w:rPr>
                <w:rFonts w:ascii="Times New Roman" w:hAnsi="Times New Roman" w:cs="Times New Roman"/>
                <w:sz w:val="18"/>
                <w:szCs w:val="18"/>
              </w:rPr>
              <w:t>        barwa </w:t>
            </w:r>
            <w:r w:rsidRPr="00EF535A">
              <w:rPr>
                <w:rStyle w:val="spelle"/>
                <w:rFonts w:ascii="Times New Roman" w:hAnsi="Times New Roman" w:cs="Times New Roman"/>
                <w:sz w:val="18"/>
                <w:szCs w:val="18"/>
              </w:rPr>
              <w:t>zielona</w:t>
            </w:r>
          </w:p>
          <w:p w:rsidR="00E847A6" w:rsidRPr="00EF535A" w:rsidRDefault="00E847A6" w:rsidP="007E50B3">
            <w:pPr>
              <w:ind w:left="357" w:hanging="357"/>
              <w:rPr>
                <w:rFonts w:ascii="Times New Roman" w:hAnsi="Times New Roman" w:cs="Times New Roman"/>
                <w:sz w:val="18"/>
                <w:szCs w:val="18"/>
              </w:rPr>
            </w:pP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barwa</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czarna</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0,80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0,10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0,05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0,05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£ 0,05</w:t>
            </w:r>
          </w:p>
        </w:tc>
      </w:tr>
      <w:tr w:rsidR="00E847A6" w:rsidRPr="00EF535A" w:rsidTr="007E50B3">
        <w:trPr>
          <w:trHeight w:val="435"/>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7</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Współrzędne chromatyczności </w:t>
            </w:r>
            <w:r w:rsidRPr="00EF535A">
              <w:rPr>
                <w:rStyle w:val="spelle"/>
                <w:rFonts w:ascii="Times New Roman" w:hAnsi="Times New Roman" w:cs="Times New Roman"/>
                <w:i/>
                <w:iCs/>
                <w:sz w:val="18"/>
                <w:szCs w:val="18"/>
              </w:rPr>
              <w:t>x</w:t>
            </w:r>
            <w:r w:rsidRPr="00EF535A">
              <w:rPr>
                <w:rStyle w:val="spelle"/>
                <w:rFonts w:ascii="Times New Roman" w:hAnsi="Times New Roman" w:cs="Times New Roman"/>
                <w:sz w:val="18"/>
                <w:szCs w:val="18"/>
              </w:rPr>
              <w:t>,</w:t>
            </w:r>
            <w:r w:rsidRPr="00EF535A">
              <w:rPr>
                <w:rStyle w:val="spelle"/>
                <w:rFonts w:ascii="Times New Roman" w:hAnsi="Times New Roman" w:cs="Times New Roman"/>
                <w:i/>
                <w:iCs/>
                <w:sz w:val="18"/>
                <w:szCs w:val="18"/>
              </w:rPr>
              <w:t>y</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wg rys. 1, 2 i 3</w:t>
            </w:r>
          </w:p>
        </w:tc>
      </w:tr>
      <w:tr w:rsidR="00E847A6" w:rsidRPr="00EF535A" w:rsidTr="007E50B3">
        <w:trPr>
          <w:trHeight w:val="553"/>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8</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Siła krycia</w:t>
            </w:r>
          </w:p>
          <w:p w:rsidR="00E847A6" w:rsidRPr="00EF535A" w:rsidRDefault="00E847A6" w:rsidP="007E50B3">
            <w:pPr>
              <w:ind w:left="360" w:hanging="360"/>
              <w:rPr>
                <w:rFonts w:ascii="Times New Roman" w:hAnsi="Times New Roman" w:cs="Times New Roman"/>
                <w:sz w:val="18"/>
                <w:szCs w:val="18"/>
              </w:rPr>
            </w:pPr>
            <w:r w:rsidRPr="00EF535A">
              <w:rPr>
                <w:rFonts w:ascii="Times New Roman" w:hAnsi="Times New Roman" w:cs="Times New Roman"/>
                <w:sz w:val="18"/>
                <w:szCs w:val="18"/>
              </w:rPr>
              <w:t>-        barwa biała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HP3)</w:t>
            </w:r>
          </w:p>
          <w:p w:rsidR="00E847A6" w:rsidRPr="00EF535A" w:rsidRDefault="00E847A6" w:rsidP="007E50B3">
            <w:pPr>
              <w:ind w:left="360" w:hanging="360"/>
              <w:rPr>
                <w:rFonts w:ascii="Times New Roman" w:hAnsi="Times New Roman" w:cs="Times New Roman"/>
                <w:sz w:val="18"/>
                <w:szCs w:val="18"/>
              </w:rPr>
            </w:pPr>
            <w:r w:rsidRPr="00EF535A">
              <w:rPr>
                <w:rFonts w:ascii="Times New Roman" w:hAnsi="Times New Roman" w:cs="Times New Roman"/>
                <w:sz w:val="18"/>
                <w:szCs w:val="18"/>
              </w:rPr>
              <w:t>-        barwa żółta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HP2)</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 </w:t>
            </w:r>
            <w:r w:rsidRPr="00EF535A">
              <w:rPr>
                <w:rFonts w:ascii="Times New Roman" w:hAnsi="Times New Roman" w:cs="Times New Roman"/>
                <w:sz w:val="18"/>
                <w:szCs w:val="18"/>
              </w:rPr>
              <w:t>92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 </w:t>
            </w:r>
            <w:r w:rsidRPr="00EF535A">
              <w:rPr>
                <w:rFonts w:ascii="Times New Roman" w:hAnsi="Times New Roman" w:cs="Times New Roman"/>
                <w:sz w:val="18"/>
                <w:szCs w:val="18"/>
              </w:rPr>
              <w:t>90</w:t>
            </w:r>
          </w:p>
        </w:tc>
      </w:tr>
      <w:tr w:rsidR="00E847A6" w:rsidRPr="00EF535A" w:rsidTr="007E50B3">
        <w:trPr>
          <w:trHeight w:val="272"/>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9</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Stabilność w czasie magazynowania</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4</w:t>
            </w:r>
          </w:p>
        </w:tc>
      </w:tr>
      <w:tr w:rsidR="00E847A6" w:rsidRPr="00EF535A" w:rsidTr="007E50B3">
        <w:trPr>
          <w:trHeight w:val="553"/>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10</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Odporność na UV</w:t>
            </w:r>
          </w:p>
          <w:p w:rsidR="00E847A6" w:rsidRPr="00EF535A" w:rsidRDefault="00E847A6" w:rsidP="007E50B3">
            <w:pPr>
              <w:ind w:left="360" w:hanging="360"/>
              <w:rPr>
                <w:rFonts w:ascii="Times New Roman" w:hAnsi="Times New Roman" w:cs="Times New Roman"/>
                <w:sz w:val="18"/>
                <w:szCs w:val="18"/>
              </w:rPr>
            </w:pPr>
            <w:r w:rsidRPr="00EF535A">
              <w:rPr>
                <w:rFonts w:ascii="Times New Roman" w:hAnsi="Times New Roman" w:cs="Times New Roman"/>
                <w:sz w:val="18"/>
                <w:szCs w:val="18"/>
              </w:rPr>
              <w:t>-        barwa biała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UV1)</w:t>
            </w:r>
          </w:p>
          <w:p w:rsidR="00E847A6" w:rsidRPr="00EF535A" w:rsidRDefault="00E847A6" w:rsidP="007E50B3">
            <w:pPr>
              <w:ind w:left="360" w:hanging="360"/>
              <w:rPr>
                <w:rFonts w:ascii="Times New Roman" w:hAnsi="Times New Roman" w:cs="Times New Roman"/>
                <w:sz w:val="18"/>
                <w:szCs w:val="18"/>
              </w:rPr>
            </w:pPr>
            <w:r w:rsidRPr="00EF535A">
              <w:rPr>
                <w:rFonts w:ascii="Times New Roman" w:hAnsi="Times New Roman" w:cs="Times New Roman"/>
                <w:sz w:val="18"/>
                <w:szCs w:val="18"/>
              </w:rPr>
              <w:t>-        barwa żółta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UV2)</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rPr>
              <w:t>∆β</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£ 0,05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£ 0,10</w:t>
            </w:r>
          </w:p>
        </w:tc>
      </w:tr>
      <w:tr w:rsidR="00E847A6" w:rsidRPr="00EF535A" w:rsidTr="007E50B3">
        <w:trPr>
          <w:trHeight w:val="553"/>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11</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Odporność na „przenikanie”</w:t>
            </w:r>
          </w:p>
          <w:p w:rsidR="00E847A6" w:rsidRPr="00EF535A" w:rsidRDefault="00E847A6" w:rsidP="007E50B3">
            <w:pPr>
              <w:ind w:left="360" w:hanging="360"/>
              <w:rPr>
                <w:rFonts w:ascii="Times New Roman" w:hAnsi="Times New Roman" w:cs="Times New Roman"/>
                <w:sz w:val="18"/>
                <w:szCs w:val="18"/>
              </w:rPr>
            </w:pPr>
            <w:r w:rsidRPr="00EF535A">
              <w:rPr>
                <w:rFonts w:ascii="Times New Roman" w:hAnsi="Times New Roman" w:cs="Times New Roman"/>
                <w:sz w:val="18"/>
                <w:szCs w:val="18"/>
              </w:rPr>
              <w:t>-        barwa biała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BR2)</w:t>
            </w:r>
          </w:p>
          <w:p w:rsidR="00E847A6" w:rsidRPr="00EF535A" w:rsidRDefault="00E847A6" w:rsidP="007E50B3">
            <w:pPr>
              <w:ind w:left="360" w:hanging="360"/>
              <w:rPr>
                <w:rFonts w:ascii="Times New Roman" w:hAnsi="Times New Roman" w:cs="Times New Roman"/>
                <w:sz w:val="18"/>
                <w:szCs w:val="18"/>
              </w:rPr>
            </w:pPr>
            <w:r w:rsidRPr="00EF535A">
              <w:rPr>
                <w:rFonts w:ascii="Times New Roman" w:hAnsi="Times New Roman" w:cs="Times New Roman"/>
                <w:sz w:val="18"/>
                <w:szCs w:val="18"/>
              </w:rPr>
              <w:t>-        barwa żółta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BR1)</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rPr>
              <w:t>∆β</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£ 0,05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£ 0,03</w:t>
            </w:r>
          </w:p>
        </w:tc>
      </w:tr>
      <w:tr w:rsidR="00E847A6" w:rsidRPr="00EF535A" w:rsidTr="007E50B3">
        <w:trPr>
          <w:trHeight w:val="553"/>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12</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Odporność na alkalia</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powłoka po badaniu nie powinna wykazywać oznak częściowego lub całkowitego </w:t>
            </w:r>
            <w:r w:rsidRPr="00EF535A">
              <w:rPr>
                <w:rStyle w:val="spelle"/>
                <w:rFonts w:ascii="Times New Roman" w:hAnsi="Times New Roman" w:cs="Times New Roman"/>
                <w:sz w:val="18"/>
                <w:szCs w:val="18"/>
              </w:rPr>
              <w:t>uszkodze-nia</w:t>
            </w: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uszorstnienia</w:t>
            </w:r>
            <w:r w:rsidRPr="00EF535A">
              <w:rPr>
                <w:rFonts w:ascii="Times New Roman" w:hAnsi="Times New Roman" w:cs="Times New Roman"/>
                <w:sz w:val="18"/>
                <w:szCs w:val="18"/>
              </w:rPr>
              <w:t> lub odbarwienia</w:t>
            </w:r>
          </w:p>
        </w:tc>
      </w:tr>
      <w:tr w:rsidR="00E847A6" w:rsidRPr="00EF535A" w:rsidTr="007E50B3">
        <w:trPr>
          <w:trHeight w:val="553"/>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13</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Temperatura </w:t>
            </w:r>
            <w:r w:rsidRPr="00EF535A">
              <w:rPr>
                <w:rStyle w:val="spelle"/>
                <w:rFonts w:ascii="Times New Roman" w:hAnsi="Times New Roman" w:cs="Times New Roman"/>
                <w:sz w:val="18"/>
                <w:szCs w:val="18"/>
              </w:rPr>
              <w:t>mięknienia</w:t>
            </w:r>
            <w:r w:rsidRPr="00EF535A">
              <w:rPr>
                <w:rFonts w:ascii="Times New Roman" w:hAnsi="Times New Roman" w:cs="Times New Roman"/>
                <w:sz w:val="18"/>
                <w:szCs w:val="18"/>
              </w:rPr>
              <w:t> (tylko masy termoplastyczne)</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°C</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80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klasy od SP2 do SP4</w:t>
            </w:r>
          </w:p>
        </w:tc>
      </w:tr>
      <w:tr w:rsidR="00E847A6" w:rsidRPr="00EF535A" w:rsidTr="007E50B3">
        <w:trPr>
          <w:trHeight w:val="553"/>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14</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Penetracja stemplem w temp. 20°C (tylko masy termoplastyczne)</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min</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klasy</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IN 2 do IN5</w:t>
            </w:r>
          </w:p>
        </w:tc>
      </w:tr>
      <w:tr w:rsidR="00E847A6" w:rsidRPr="00EF535A" w:rsidTr="007E50B3">
        <w:trPr>
          <w:trHeight w:val="553"/>
        </w:trPr>
        <w:tc>
          <w:tcPr>
            <w:tcW w:w="77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13" w:right="113"/>
              <w:jc w:val="right"/>
              <w:rPr>
                <w:rFonts w:ascii="Times New Roman" w:hAnsi="Times New Roman" w:cs="Times New Roman"/>
                <w:sz w:val="18"/>
                <w:szCs w:val="18"/>
              </w:rPr>
            </w:pPr>
            <w:r w:rsidRPr="00EF535A">
              <w:rPr>
                <w:rFonts w:ascii="Times New Roman" w:hAnsi="Times New Roman" w:cs="Times New Roman"/>
                <w:sz w:val="18"/>
                <w:szCs w:val="18"/>
              </w:rPr>
              <w:t>15</w:t>
            </w:r>
          </w:p>
        </w:tc>
        <w:tc>
          <w:tcPr>
            <w:tcW w:w="433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Udarność w temp. 0°C, 10 szt. (tylko masy termoplastyczne)</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liczba</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próbek</w:t>
            </w:r>
          </w:p>
        </w:tc>
        <w:tc>
          <w:tcPr>
            <w:tcW w:w="255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6</w:t>
            </w:r>
          </w:p>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C1</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nie dotyczy farb wodorozcieńczalnych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2. Klasy wymagań odnośnie czasu schnięcia</w:t>
      </w:r>
    </w:p>
    <w:tbl>
      <w:tblPr>
        <w:tblW w:w="0" w:type="auto"/>
        <w:tblInd w:w="68" w:type="dxa"/>
        <w:shd w:val="clear" w:color="auto" w:fill="EAEAEA"/>
        <w:tblCellMar>
          <w:left w:w="0" w:type="dxa"/>
          <w:right w:w="0" w:type="dxa"/>
        </w:tblCellMar>
        <w:tblLook w:val="04A0"/>
      </w:tblPr>
      <w:tblGrid>
        <w:gridCol w:w="2518"/>
        <w:gridCol w:w="3402"/>
        <w:gridCol w:w="2909"/>
      </w:tblGrid>
      <w:tr w:rsidR="00E847A6" w:rsidRPr="00EF535A" w:rsidTr="007E50B3">
        <w:tc>
          <w:tcPr>
            <w:tcW w:w="2518" w:type="dxa"/>
            <w:tcBorders>
              <w:top w:val="single" w:sz="8" w:space="0" w:color="000000"/>
              <w:left w:val="single" w:sz="8" w:space="0" w:color="000000"/>
              <w:bottom w:val="double" w:sz="4" w:space="0" w:color="auto"/>
              <w:right w:val="single" w:sz="8" w:space="0" w:color="000000"/>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przejezdności</w:t>
            </w:r>
          </w:p>
        </w:tc>
        <w:tc>
          <w:tcPr>
            <w:tcW w:w="3402" w:type="dxa"/>
            <w:tcBorders>
              <w:top w:val="single" w:sz="8" w:space="0" w:color="000000"/>
              <w:left w:val="nil"/>
              <w:bottom w:val="double" w:sz="4" w:space="0" w:color="auto"/>
              <w:right w:val="single" w:sz="8" w:space="0" w:color="000000"/>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Materiał do poziomego oznakowania </w:t>
            </w:r>
            <w:r w:rsidRPr="00EF535A">
              <w:rPr>
                <w:rStyle w:val="spelle"/>
                <w:rFonts w:ascii="Times New Roman" w:hAnsi="Times New Roman" w:cs="Times New Roman"/>
                <w:sz w:val="18"/>
                <w:szCs w:val="18"/>
              </w:rPr>
              <w:t>dróg</w:t>
            </w:r>
          </w:p>
        </w:tc>
        <w:tc>
          <w:tcPr>
            <w:tcW w:w="2909" w:type="dxa"/>
            <w:tcBorders>
              <w:top w:val="single" w:sz="8" w:space="0" w:color="000000"/>
              <w:left w:val="nil"/>
              <w:bottom w:val="double" w:sz="4" w:space="0" w:color="auto"/>
              <w:right w:val="single" w:sz="8" w:space="0" w:color="000000"/>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Czas schnięcia, min</w:t>
            </w:r>
          </w:p>
        </w:tc>
      </w:tr>
      <w:tr w:rsidR="00E847A6" w:rsidRPr="00EF535A" w:rsidTr="007E50B3">
        <w:tc>
          <w:tcPr>
            <w:tcW w:w="2518"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DT1</w:t>
            </w:r>
          </w:p>
        </w:tc>
        <w:tc>
          <w:tcPr>
            <w:tcW w:w="3402"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bardzo szybko schnący</w:t>
            </w:r>
          </w:p>
        </w:tc>
        <w:tc>
          <w:tcPr>
            <w:tcW w:w="2909"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w:t>
            </w:r>
          </w:p>
        </w:tc>
      </w:tr>
      <w:tr w:rsidR="00E847A6" w:rsidRPr="00EF535A" w:rsidTr="007E50B3">
        <w:tc>
          <w:tcPr>
            <w:tcW w:w="2518"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DT2</w:t>
            </w:r>
          </w:p>
        </w:tc>
        <w:tc>
          <w:tcPr>
            <w:tcW w:w="3402"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szybko schnący</w:t>
            </w:r>
          </w:p>
        </w:tc>
        <w:tc>
          <w:tcPr>
            <w:tcW w:w="2909"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10</w:t>
            </w:r>
          </w:p>
        </w:tc>
      </w:tr>
      <w:tr w:rsidR="00E847A6" w:rsidRPr="00EF535A" w:rsidTr="007E50B3">
        <w:tc>
          <w:tcPr>
            <w:tcW w:w="2518"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DT3</w:t>
            </w:r>
          </w:p>
        </w:tc>
        <w:tc>
          <w:tcPr>
            <w:tcW w:w="3402"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normalnie schnący</w:t>
            </w:r>
          </w:p>
        </w:tc>
        <w:tc>
          <w:tcPr>
            <w:tcW w:w="2909"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20</w:t>
            </w:r>
          </w:p>
        </w:tc>
      </w:tr>
      <w:tr w:rsidR="00E847A6" w:rsidRPr="00EF535A" w:rsidTr="007E50B3">
        <w:tc>
          <w:tcPr>
            <w:tcW w:w="2518"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DT4</w:t>
            </w:r>
          </w:p>
        </w:tc>
        <w:tc>
          <w:tcPr>
            <w:tcW w:w="3402"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wolno schnący</w:t>
            </w:r>
          </w:p>
        </w:tc>
        <w:tc>
          <w:tcPr>
            <w:tcW w:w="2909"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30</w:t>
            </w:r>
          </w:p>
        </w:tc>
      </w:tr>
      <w:tr w:rsidR="00E847A6" w:rsidRPr="00EF535A" w:rsidTr="007E50B3">
        <w:tc>
          <w:tcPr>
            <w:tcW w:w="2518"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DT5</w:t>
            </w:r>
          </w:p>
        </w:tc>
        <w:tc>
          <w:tcPr>
            <w:tcW w:w="3402"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bardzo wolno schnący</w:t>
            </w:r>
          </w:p>
        </w:tc>
        <w:tc>
          <w:tcPr>
            <w:tcW w:w="2909"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60</w:t>
            </w:r>
          </w:p>
        </w:tc>
      </w:tr>
    </w:tbl>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2.8. Materiały prefabrykowane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Do materiałów prefabrykowanych [17] zaliczamy: masy termoplastyczne w arkuszach do wtapiania oraz naklejane taśmy do oznakowań trwałych (białe) i tymczasowych (żółte), pasy ostrzegawcze z wypustkami oraz punktowe elementy odblaskowe. </w:t>
      </w:r>
      <w:r w:rsidRPr="007078D3">
        <w:rPr>
          <w:rFonts w:ascii="Times New Roman" w:hAnsi="Times New Roman" w:cs="Times New Roman"/>
          <w:color w:val="000000"/>
          <w:szCs w:val="20"/>
        </w:rPr>
        <w:lastRenderedPageBreak/>
        <w:t>Ta grupa materiałów mieści się w zakresie materiałów do oznakowań grubowarstwowych. Mogą być przyklejane, wtapiane lub wbudowywane.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2.8.1.</w:t>
      </w:r>
      <w:r w:rsidRPr="007078D3">
        <w:rPr>
          <w:rFonts w:ascii="Times New Roman" w:hAnsi="Times New Roman" w:cs="Times New Roman"/>
          <w:color w:val="000000"/>
          <w:szCs w:val="20"/>
        </w:rPr>
        <w:t> Masy termoplastyczne w arkuszach</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Masy termoplastyczne są m.in. produkowane w prostokątnych arkuszach do samodzielnego wycinania odpowiednich kształtów lub gotowych linii oznakowania (P-10), symboli (P-24), znaków (P-8) i wyrazów (P-16). Prefabrykat po ułożeniu na swoim miejscu wymaga podgrzania palnikiem do temperatury 180°C ÷ 220°C, dzięki czemu po stopieniu łączy się z nawierzchnią.</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2.8.2.</w:t>
      </w:r>
      <w:r w:rsidRPr="007078D3">
        <w:rPr>
          <w:rFonts w:ascii="Times New Roman" w:hAnsi="Times New Roman" w:cs="Times New Roman"/>
          <w:color w:val="000000"/>
          <w:szCs w:val="20"/>
        </w:rPr>
        <w:t> Taśmy samoprzylepne</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Taśmy prefabrykowane samoprzylepne są wielowarstwowymi materiałami składającymi się z warstw polimerów, wypełniaczy, kulek szklanych lub ceramicznych, materiałów </w:t>
      </w:r>
      <w:r w:rsidRPr="007078D3">
        <w:rPr>
          <w:rStyle w:val="spelle"/>
          <w:rFonts w:ascii="Times New Roman" w:hAnsi="Times New Roman" w:cs="Times New Roman"/>
          <w:color w:val="000000"/>
          <w:szCs w:val="20"/>
        </w:rPr>
        <w:t>uszorstniających</w:t>
      </w:r>
      <w:r w:rsidRPr="007078D3">
        <w:rPr>
          <w:rFonts w:ascii="Times New Roman" w:hAnsi="Times New Roman" w:cs="Times New Roman"/>
          <w:color w:val="000000"/>
          <w:szCs w:val="20"/>
        </w:rPr>
        <w:t>, wzmacniających i kleju. Na powierzchni taśma zawiera wtopione w warstwę odpornego na ścieranie polimeru kulki szklane i ceramiczne zapewniające dobrą widoczność oznakowania w nocy i wysoką szorstkość. Warstwa spodnia pokryta jest nie wysychającym klejem, umożliwiającym przyklejenie przez docisk. Taśmy mogą być stosowane metodą </w:t>
      </w:r>
      <w:r w:rsidRPr="007078D3">
        <w:rPr>
          <w:rStyle w:val="spelle"/>
          <w:rFonts w:ascii="Times New Roman" w:hAnsi="Times New Roman" w:cs="Times New Roman"/>
          <w:i/>
          <w:iCs/>
          <w:color w:val="000000"/>
          <w:szCs w:val="20"/>
        </w:rPr>
        <w:t>overlay</w:t>
      </w:r>
      <w:r w:rsidRPr="007078D3">
        <w:rPr>
          <w:rFonts w:ascii="Times New Roman" w:hAnsi="Times New Roman" w:cs="Times New Roman"/>
          <w:color w:val="000000"/>
          <w:szCs w:val="20"/>
        </w:rPr>
        <w:t> na nawierzchniach asfaltowych i na betonowych po zastosowaniu kleju (</w:t>
      </w:r>
      <w:r w:rsidRPr="007078D3">
        <w:rPr>
          <w:rStyle w:val="spelle"/>
          <w:rFonts w:ascii="Times New Roman" w:hAnsi="Times New Roman" w:cs="Times New Roman"/>
          <w:i/>
          <w:iCs/>
          <w:color w:val="000000"/>
          <w:szCs w:val="20"/>
        </w:rPr>
        <w:t>primera</w:t>
      </w:r>
      <w:r w:rsidRPr="007078D3">
        <w:rPr>
          <w:rFonts w:ascii="Times New Roman" w:hAnsi="Times New Roman" w:cs="Times New Roman"/>
          <w:color w:val="000000"/>
          <w:szCs w:val="20"/>
        </w:rPr>
        <w:t>), który wzmacnia przyleganie taśmy do podłoża, wiążąc kurz. Drugą, bardziej zalecaną, metodą naklejania taśmy jest metoda </w:t>
      </w:r>
      <w:r w:rsidRPr="007078D3">
        <w:rPr>
          <w:rStyle w:val="spelle"/>
          <w:rFonts w:ascii="Times New Roman" w:hAnsi="Times New Roman" w:cs="Times New Roman"/>
          <w:i/>
          <w:iCs/>
          <w:color w:val="000000"/>
          <w:szCs w:val="20"/>
        </w:rPr>
        <w:t>inlay</w:t>
      </w:r>
      <w:r w:rsidRPr="007078D3">
        <w:rPr>
          <w:rFonts w:ascii="Times New Roman" w:hAnsi="Times New Roman" w:cs="Times New Roman"/>
          <w:color w:val="000000"/>
          <w:szCs w:val="20"/>
        </w:rPr>
        <w:t>, która polega na nakładaniu taśmy na świeżo wbudowaną warstwę ścieralną nawierzchni i jej przywałowanie. Do oznakowań stałych stosowane są białe taśmy gładkie i profilowane, a do oznakowań tymczasowych żółte taśmy gładkie, najlepiej wzmocnione siatką, ułatwiającą usuwanie oznakowania po zakończeniu robót. Stosowane są także taśmy barwy czarnej służące do zaklejania oznakowań stałych przy zmianie organizacji ruchu.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2.8.3. </w:t>
      </w:r>
      <w:r w:rsidRPr="007078D3">
        <w:rPr>
          <w:rFonts w:ascii="Times New Roman" w:hAnsi="Times New Roman" w:cs="Times New Roman"/>
          <w:color w:val="000000"/>
          <w:szCs w:val="20"/>
        </w:rPr>
        <w:t>Pasy ostrzegawcze z wypustkami (guzami)</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Pasy ostrzegawcze z wypustkami przeznaczone są do ostrzegania osób niewidomych i słabo widzących w miejscach niebezpiecznych. Produkowane są na bazie różnych wyrobów prefabrykowanych: taśm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prefabrykatów termoplastycznych, taśm z innych tworzyw sztucznych. Wypustki są regularnie rozłożone na pasie w szachownicę z rozstawieniem co około 75 mm, są w formie kopuły o tym samym promieniu krzywizny, ich grubość wynosi od 3 mm do 4 mm, średnica podstawy 25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 Wystarczająco duża elastyczność pasa pozwala na klejenie go do podłoży nierównych. Stosowane są kleje chemoutwardzalne i termoplastyczne.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2.8.4.</w:t>
      </w:r>
      <w:r w:rsidRPr="007078D3">
        <w:rPr>
          <w:rFonts w:ascii="Times New Roman" w:hAnsi="Times New Roman" w:cs="Times New Roman"/>
          <w:color w:val="000000"/>
          <w:szCs w:val="20"/>
        </w:rPr>
        <w:t> Punktowe elementy odblaskowe (PEO)</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Wymagania wobec punktowych elementów odblaskowych określa PN-EN 1463-1:2009 [4]. Rozróżnia się kilkanaście rodzajów punktowych elementów odblaskowych. Korpusy PEO mają różny kształt, wielkość, wysokość oraz rodzaj i liczbę zastosowanych elementów odblaskowych. Najczęściej wykonywane są z polipropylenu, poliakrylonitrylu, ABS, a także z żeliwa, aluminium i ze szkła. Elementami odblaskowymi są soczewki szklane lub z PMM w liczbie od 2 do kilkunastu, </w:t>
      </w:r>
      <w:r w:rsidRPr="007078D3">
        <w:rPr>
          <w:rStyle w:val="spelle"/>
          <w:rFonts w:ascii="Times New Roman" w:hAnsi="Times New Roman" w:cs="Times New Roman"/>
          <w:color w:val="000000"/>
          <w:szCs w:val="20"/>
        </w:rPr>
        <w:t>mikropryzmatyczne</w:t>
      </w:r>
      <w:r w:rsidRPr="007078D3">
        <w:rPr>
          <w:rFonts w:ascii="Times New Roman" w:hAnsi="Times New Roman" w:cs="Times New Roman"/>
          <w:color w:val="000000"/>
          <w:szCs w:val="20"/>
        </w:rPr>
        <w:t> płytki z polimetakrylanu metylu i folie odblaskowe </w:t>
      </w:r>
      <w:r w:rsidRPr="007078D3">
        <w:rPr>
          <w:rStyle w:val="spelle"/>
          <w:rFonts w:ascii="Times New Roman" w:hAnsi="Times New Roman" w:cs="Times New Roman"/>
          <w:color w:val="000000"/>
          <w:szCs w:val="20"/>
        </w:rPr>
        <w:t>mikropryzmatyczne</w:t>
      </w:r>
      <w:r w:rsidRPr="007078D3">
        <w:rPr>
          <w:rFonts w:ascii="Times New Roman" w:hAnsi="Times New Roman" w:cs="Times New Roman"/>
          <w:color w:val="000000"/>
          <w:szCs w:val="20"/>
        </w:rPr>
        <w:t> i kulkowe. PEO mogą być jedno i dwukierunkowe oraz wielokierunkowe (szklany korpus). Element odblaskowy może być osłonięty warstwą szkła, która zabezpiecza go przed ścieraniem i znacznie przedłuża jego sprawność na drodze. Trwałe PEO w kolorze białym służą do prowadzenia poziomego pojazdów i stanowią przeważnie uzupełnienie istniejących znaków drogowych. Tymczasowe PEO w kolorze żółtym mogą być stosowane do oznakowań czasowych zmian organizacji ruchu.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Profil punktowego elementu odblaskowego nie powinien mieć żadnych ostrych krawędzi od strony najeżdżanej przez pojazdy. Jeśli punktowy element odblaskowy jest wykonany z dwu lub więcej części, każda z nich powinna być usuwalna tylko za pomocą narzędzi polecanych przez producenta. Wysokość punktowego elementu nie może być większa od 25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 Barwa, w przypadku oznakowania trwałego, powinna być biała lub czerwona, a dla oznakowania czasowego – żółta zgodnie z załącznikiem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2 do rozporządzenia Ministra Infrastruktury [11].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tablicy 3 podano wymagania, które powinien spełniać odbłyśnik punktowego elementu odblaskowego nowego, zarówno do zastosowań trwałych, jak i tymczasowych, dotyczące współczynnika odbicia </w:t>
      </w:r>
      <w:r w:rsidRPr="007078D3">
        <w:rPr>
          <w:rStyle w:val="spelle"/>
          <w:rFonts w:ascii="Times New Roman" w:hAnsi="Times New Roman" w:cs="Times New Roman"/>
          <w:color w:val="000000"/>
          <w:szCs w:val="20"/>
        </w:rPr>
        <w:t>współdrożnego</w:t>
      </w:r>
      <w:r w:rsidRPr="007078D3">
        <w:rPr>
          <w:rFonts w:ascii="Times New Roman" w:hAnsi="Times New Roman" w:cs="Times New Roman"/>
          <w:color w:val="000000"/>
          <w:szCs w:val="20"/>
        </w:rPr>
        <w:t> R pomnożonego przez odpowiedni mnożnik odpowiadający każdej barwie podanej w tablicy 4 [4].</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Określono dwie klasy trwałych PEO: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PRP 0 - wymaganie nie określone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PRP 1 - nie mniej niż w tablicy 2.</w:t>
      </w:r>
    </w:p>
    <w:p w:rsidR="00E847A6" w:rsidRPr="007078D3" w:rsidRDefault="00E847A6" w:rsidP="00E847A6">
      <w:pPr>
        <w:ind w:left="993" w:hanging="993"/>
        <w:rPr>
          <w:rFonts w:ascii="Times New Roman" w:hAnsi="Times New Roman" w:cs="Times New Roman"/>
          <w:color w:val="000000"/>
          <w:szCs w:val="20"/>
        </w:rPr>
      </w:pPr>
      <w:r w:rsidRPr="007078D3">
        <w:rPr>
          <w:rFonts w:ascii="Times New Roman" w:hAnsi="Times New Roman" w:cs="Times New Roman"/>
          <w:color w:val="000000"/>
          <w:szCs w:val="20"/>
        </w:rPr>
        <w:t>Tablica 3. Klasa PRP 1- Minimalne wartości współczynnika odbicia </w:t>
      </w:r>
      <w:r w:rsidRPr="007078D3">
        <w:rPr>
          <w:rStyle w:val="spelle"/>
          <w:rFonts w:ascii="Times New Roman" w:hAnsi="Times New Roman" w:cs="Times New Roman"/>
          <w:color w:val="000000"/>
          <w:szCs w:val="20"/>
        </w:rPr>
        <w:t>współdrożnego</w:t>
      </w:r>
      <w:r w:rsidRPr="007078D3">
        <w:rPr>
          <w:rFonts w:ascii="Times New Roman" w:hAnsi="Times New Roman" w:cs="Times New Roman"/>
          <w:color w:val="000000"/>
          <w:szCs w:val="20"/>
        </w:rPr>
        <w:t> R punktowych elementów odblaskowych, typu 1 (szklany), typu 2 (plastikowy) i typu 3 (plastikowy z osłoną szklaną)</w:t>
      </w:r>
    </w:p>
    <w:tbl>
      <w:tblPr>
        <w:tblW w:w="0" w:type="auto"/>
        <w:tblInd w:w="113" w:type="dxa"/>
        <w:shd w:val="clear" w:color="auto" w:fill="EAEAEA"/>
        <w:tblCellMar>
          <w:left w:w="0" w:type="dxa"/>
          <w:right w:w="0" w:type="dxa"/>
        </w:tblCellMar>
        <w:tblLook w:val="04A0"/>
      </w:tblPr>
      <w:tblGrid>
        <w:gridCol w:w="3794"/>
        <w:gridCol w:w="1134"/>
        <w:gridCol w:w="1276"/>
        <w:gridCol w:w="1275"/>
        <w:gridCol w:w="1276"/>
      </w:tblGrid>
      <w:tr w:rsidR="00E847A6" w:rsidRPr="00EF535A" w:rsidTr="007E50B3">
        <w:tc>
          <w:tcPr>
            <w:tcW w:w="3794" w:type="dxa"/>
            <w:tcBorders>
              <w:top w:val="single" w:sz="8" w:space="0" w:color="auto"/>
              <w:left w:val="single" w:sz="8" w:space="0" w:color="auto"/>
              <w:bottom w:val="single" w:sz="8" w:space="0" w:color="000000"/>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Kąt oświetlenia ß</w:t>
            </w:r>
            <w:r w:rsidRPr="00EF535A">
              <w:rPr>
                <w:rFonts w:ascii="Times New Roman" w:hAnsi="Times New Roman" w:cs="Times New Roman"/>
                <w:sz w:val="18"/>
                <w:szCs w:val="18"/>
                <w:vertAlign w:val="subscript"/>
              </w:rPr>
              <w:t>(H)</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ß</w:t>
            </w:r>
            <w:r w:rsidRPr="00EF535A">
              <w:rPr>
                <w:rFonts w:ascii="Times New Roman" w:hAnsi="Times New Roman" w:cs="Times New Roman"/>
                <w:sz w:val="18"/>
                <w:szCs w:val="18"/>
                <w:vertAlign w:val="subscript"/>
              </w:rPr>
              <w:t>(V)</w:t>
            </w:r>
            <w:r w:rsidRPr="00EF535A">
              <w:rPr>
                <w:rFonts w:ascii="Times New Roman" w:hAnsi="Times New Roman" w:cs="Times New Roman"/>
                <w:sz w:val="18"/>
                <w:szCs w:val="18"/>
              </w:rPr>
              <w:t>= 0</w:t>
            </w:r>
            <w:r w:rsidRPr="00EF535A">
              <w:rPr>
                <w:rFonts w:ascii="Times New Roman" w:hAnsi="Times New Roman" w:cs="Times New Roman"/>
                <w:sz w:val="18"/>
                <w:szCs w:val="18"/>
                <w:vertAlign w:val="superscript"/>
              </w:rPr>
              <w:t>o</w:t>
            </w:r>
          </w:p>
        </w:tc>
        <w:tc>
          <w:tcPr>
            <w:tcW w:w="1134" w:type="dxa"/>
            <w:vMerge w:val="restart"/>
            <w:tcBorders>
              <w:top w:val="single" w:sz="8" w:space="0" w:color="auto"/>
              <w:left w:val="nil"/>
              <w:bottom w:val="double" w:sz="4" w:space="0" w:color="auto"/>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1276" w:type="dxa"/>
            <w:tcBorders>
              <w:top w:val="single" w:sz="8" w:space="0" w:color="auto"/>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w:t>
            </w:r>
            <w:r w:rsidRPr="00EF535A">
              <w:rPr>
                <w:rFonts w:ascii="Times New Roman" w:hAnsi="Times New Roman" w:cs="Times New Roman"/>
                <w:sz w:val="18"/>
                <w:szCs w:val="18"/>
                <w:vertAlign w:val="superscript"/>
              </w:rPr>
              <w:t>o</w:t>
            </w:r>
          </w:p>
        </w:tc>
        <w:tc>
          <w:tcPr>
            <w:tcW w:w="1275" w:type="dxa"/>
            <w:tcBorders>
              <w:top w:val="single" w:sz="8" w:space="0" w:color="auto"/>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w:t>
            </w:r>
            <w:r w:rsidRPr="00EF535A">
              <w:rPr>
                <w:rFonts w:ascii="Times New Roman" w:hAnsi="Times New Roman" w:cs="Times New Roman"/>
                <w:sz w:val="18"/>
                <w:szCs w:val="18"/>
                <w:vertAlign w:val="superscript"/>
              </w:rPr>
              <w:t>o</w:t>
            </w:r>
          </w:p>
        </w:tc>
        <w:tc>
          <w:tcPr>
            <w:tcW w:w="1276" w:type="dxa"/>
            <w:tcBorders>
              <w:top w:val="single" w:sz="8" w:space="0" w:color="auto"/>
              <w:left w:val="nil"/>
              <w:bottom w:val="single" w:sz="8" w:space="0" w:color="000000"/>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r w:rsidRPr="00EF535A">
              <w:rPr>
                <w:rFonts w:ascii="Times New Roman" w:hAnsi="Times New Roman" w:cs="Times New Roman"/>
                <w:sz w:val="18"/>
                <w:szCs w:val="18"/>
                <w:vertAlign w:val="superscript"/>
              </w:rPr>
              <w:t>o</w:t>
            </w:r>
          </w:p>
        </w:tc>
      </w:tr>
      <w:tr w:rsidR="00E847A6" w:rsidRPr="00EF535A" w:rsidTr="007E50B3">
        <w:tc>
          <w:tcPr>
            <w:tcW w:w="3794" w:type="dxa"/>
            <w:tcBorders>
              <w:top w:val="nil"/>
              <w:left w:val="single" w:sz="8" w:space="0" w:color="auto"/>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Kąt obserwacji a,</w:t>
            </w:r>
          </w:p>
        </w:tc>
        <w:tc>
          <w:tcPr>
            <w:tcW w:w="0" w:type="auto"/>
            <w:vMerge/>
            <w:tcBorders>
              <w:top w:val="single" w:sz="8" w:space="0" w:color="auto"/>
              <w:left w:val="nil"/>
              <w:bottom w:val="double" w:sz="4" w:space="0" w:color="auto"/>
              <w:right w:val="single" w:sz="8" w:space="0" w:color="000000"/>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c>
          <w:tcPr>
            <w:tcW w:w="1276" w:type="dxa"/>
            <w:tcBorders>
              <w:top w:val="nil"/>
              <w:left w:val="nil"/>
              <w:bottom w:val="double" w:sz="4" w:space="0" w:color="auto"/>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r w:rsidRPr="00EF535A">
              <w:rPr>
                <w:rFonts w:ascii="Times New Roman" w:hAnsi="Times New Roman" w:cs="Times New Roman"/>
                <w:sz w:val="18"/>
                <w:szCs w:val="18"/>
                <w:vertAlign w:val="superscript"/>
              </w:rPr>
              <w:t>o</w:t>
            </w:r>
          </w:p>
        </w:tc>
        <w:tc>
          <w:tcPr>
            <w:tcW w:w="1275" w:type="dxa"/>
            <w:tcBorders>
              <w:top w:val="nil"/>
              <w:left w:val="nil"/>
              <w:bottom w:val="double" w:sz="4" w:space="0" w:color="auto"/>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r w:rsidRPr="00EF535A">
              <w:rPr>
                <w:rFonts w:ascii="Times New Roman" w:hAnsi="Times New Roman" w:cs="Times New Roman"/>
                <w:sz w:val="18"/>
                <w:szCs w:val="18"/>
                <w:vertAlign w:val="superscript"/>
              </w:rPr>
              <w:t>o</w:t>
            </w:r>
          </w:p>
        </w:tc>
        <w:tc>
          <w:tcPr>
            <w:tcW w:w="1276"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0,3</w:t>
            </w:r>
            <w:r w:rsidRPr="00EF535A">
              <w:rPr>
                <w:rFonts w:ascii="Times New Roman" w:hAnsi="Times New Roman" w:cs="Times New Roman"/>
                <w:sz w:val="18"/>
                <w:szCs w:val="18"/>
                <w:vertAlign w:val="superscript"/>
              </w:rPr>
              <w:t>o</w:t>
            </w:r>
          </w:p>
        </w:tc>
      </w:tr>
      <w:tr w:rsidR="00E847A6" w:rsidRPr="00EF535A" w:rsidTr="007E50B3">
        <w:tc>
          <w:tcPr>
            <w:tcW w:w="3794"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Minimalna wartość R,</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mcd∙lx</w:t>
            </w:r>
            <w:r w:rsidRPr="00EF535A">
              <w:rPr>
                <w:rFonts w:ascii="Times New Roman" w:hAnsi="Times New Roman" w:cs="Times New Roman"/>
                <w:sz w:val="18"/>
                <w:szCs w:val="18"/>
                <w:vertAlign w:val="superscript"/>
              </w:rPr>
              <w:t>-1</w:t>
            </w:r>
          </w:p>
        </w:tc>
        <w:tc>
          <w:tcPr>
            <w:tcW w:w="1134" w:type="dxa"/>
            <w:tcBorders>
              <w:top w:val="nil"/>
              <w:left w:val="nil"/>
              <w:bottom w:val="single" w:sz="8" w:space="0" w:color="auto"/>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typ 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typ 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typ 3</w:t>
            </w:r>
          </w:p>
        </w:tc>
        <w:tc>
          <w:tcPr>
            <w:tcW w:w="1276" w:type="dxa"/>
            <w:tcBorders>
              <w:top w:val="nil"/>
              <w:left w:val="nil"/>
              <w:bottom w:val="single" w:sz="8" w:space="0" w:color="auto"/>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w:t>
            </w:r>
          </w:p>
        </w:tc>
        <w:tc>
          <w:tcPr>
            <w:tcW w:w="1275" w:type="dxa"/>
            <w:tcBorders>
              <w:top w:val="nil"/>
              <w:left w:val="nil"/>
              <w:bottom w:val="single" w:sz="8" w:space="0" w:color="auto"/>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w:t>
            </w:r>
          </w:p>
        </w:tc>
        <w:tc>
          <w:tcPr>
            <w:tcW w:w="127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150</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4. Mnożniki dla elementów odblaskowych różnych barw</w:t>
      </w:r>
    </w:p>
    <w:tbl>
      <w:tblPr>
        <w:tblW w:w="0" w:type="auto"/>
        <w:tblInd w:w="113" w:type="dxa"/>
        <w:shd w:val="clear" w:color="auto" w:fill="EAEAEA"/>
        <w:tblCellMar>
          <w:left w:w="0" w:type="dxa"/>
          <w:right w:w="0" w:type="dxa"/>
        </w:tblCellMar>
        <w:tblLook w:val="04A0"/>
      </w:tblPr>
      <w:tblGrid>
        <w:gridCol w:w="1360"/>
        <w:gridCol w:w="1021"/>
        <w:gridCol w:w="964"/>
        <w:gridCol w:w="1474"/>
      </w:tblGrid>
      <w:tr w:rsidR="00E847A6" w:rsidRPr="007078D3" w:rsidTr="007E50B3">
        <w:tc>
          <w:tcPr>
            <w:tcW w:w="1360" w:type="dxa"/>
            <w:tcBorders>
              <w:top w:val="single" w:sz="8" w:space="0" w:color="auto"/>
              <w:left w:val="single" w:sz="8" w:space="0" w:color="auto"/>
              <w:bottom w:val="double" w:sz="4" w:space="0" w:color="auto"/>
              <w:right w:val="single" w:sz="8" w:space="0" w:color="auto"/>
            </w:tcBorders>
            <w:shd w:val="clear" w:color="auto" w:fill="EAEAEA"/>
            <w:noWrap/>
            <w:tcMar>
              <w:top w:w="0" w:type="dxa"/>
              <w:left w:w="149" w:type="dxa"/>
              <w:bottom w:w="0" w:type="dxa"/>
              <w:right w:w="149"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Barwa</w:t>
            </w:r>
          </w:p>
        </w:tc>
        <w:tc>
          <w:tcPr>
            <w:tcW w:w="1021" w:type="dxa"/>
            <w:tcBorders>
              <w:top w:val="single" w:sz="8" w:space="0" w:color="auto"/>
              <w:left w:val="nil"/>
              <w:bottom w:val="double" w:sz="4" w:space="0" w:color="auto"/>
              <w:right w:val="single" w:sz="8" w:space="0" w:color="auto"/>
            </w:tcBorders>
            <w:shd w:val="clear" w:color="auto" w:fill="EAEAEA"/>
            <w:noWrap/>
            <w:tcMar>
              <w:top w:w="0" w:type="dxa"/>
              <w:left w:w="149" w:type="dxa"/>
              <w:bottom w:w="0" w:type="dxa"/>
              <w:right w:w="149" w:type="dxa"/>
            </w:tcMa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biała</w:t>
            </w:r>
          </w:p>
        </w:tc>
        <w:tc>
          <w:tcPr>
            <w:tcW w:w="964" w:type="dxa"/>
            <w:tcBorders>
              <w:top w:val="single" w:sz="8" w:space="0" w:color="auto"/>
              <w:left w:val="nil"/>
              <w:bottom w:val="double" w:sz="4" w:space="0" w:color="auto"/>
              <w:right w:val="single" w:sz="8" w:space="0" w:color="auto"/>
            </w:tcBorders>
            <w:shd w:val="clear" w:color="auto" w:fill="EAEAEA"/>
            <w:noWrap/>
            <w:tcMar>
              <w:top w:w="0" w:type="dxa"/>
              <w:left w:w="149" w:type="dxa"/>
              <w:bottom w:w="0" w:type="dxa"/>
              <w:right w:w="149" w:type="dxa"/>
            </w:tcMa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żółta</w:t>
            </w:r>
          </w:p>
        </w:tc>
        <w:tc>
          <w:tcPr>
            <w:tcW w:w="1474" w:type="dxa"/>
            <w:tcBorders>
              <w:top w:val="single" w:sz="8" w:space="0" w:color="auto"/>
              <w:left w:val="nil"/>
              <w:bottom w:val="double" w:sz="4" w:space="0" w:color="auto"/>
              <w:right w:val="single" w:sz="8" w:space="0" w:color="auto"/>
            </w:tcBorders>
            <w:shd w:val="clear" w:color="auto" w:fill="EAEAEA"/>
            <w:noWrap/>
            <w:tcMar>
              <w:top w:w="0" w:type="dxa"/>
              <w:left w:w="149" w:type="dxa"/>
              <w:bottom w:w="0" w:type="dxa"/>
              <w:right w:w="149" w:type="dxa"/>
            </w:tcMa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czerwona</w:t>
            </w:r>
          </w:p>
        </w:tc>
      </w:tr>
      <w:tr w:rsidR="00E847A6" w:rsidRPr="007078D3" w:rsidTr="007E50B3">
        <w:tc>
          <w:tcPr>
            <w:tcW w:w="1360" w:type="dxa"/>
            <w:tcBorders>
              <w:top w:val="nil"/>
              <w:left w:val="single" w:sz="8" w:space="0" w:color="auto"/>
              <w:bottom w:val="single" w:sz="8" w:space="0" w:color="auto"/>
              <w:right w:val="single" w:sz="8" w:space="0" w:color="auto"/>
            </w:tcBorders>
            <w:shd w:val="clear" w:color="auto" w:fill="EAEAEA"/>
            <w:noWrap/>
            <w:tcMar>
              <w:top w:w="0" w:type="dxa"/>
              <w:left w:w="149" w:type="dxa"/>
              <w:bottom w:w="0" w:type="dxa"/>
              <w:right w:w="149"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Mnożnik</w:t>
            </w:r>
          </w:p>
        </w:tc>
        <w:tc>
          <w:tcPr>
            <w:tcW w:w="1021" w:type="dxa"/>
            <w:tcBorders>
              <w:top w:val="nil"/>
              <w:left w:val="nil"/>
              <w:bottom w:val="single" w:sz="8" w:space="0" w:color="auto"/>
              <w:right w:val="single" w:sz="8" w:space="0" w:color="auto"/>
            </w:tcBorders>
            <w:shd w:val="clear" w:color="auto" w:fill="EAEAEA"/>
            <w:noWrap/>
            <w:tcMar>
              <w:top w:w="0" w:type="dxa"/>
              <w:left w:w="149" w:type="dxa"/>
              <w:bottom w:w="0" w:type="dxa"/>
              <w:right w:w="149" w:type="dxa"/>
            </w:tcMa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w:t>
            </w:r>
          </w:p>
        </w:tc>
        <w:tc>
          <w:tcPr>
            <w:tcW w:w="964" w:type="dxa"/>
            <w:tcBorders>
              <w:top w:val="nil"/>
              <w:left w:val="nil"/>
              <w:bottom w:val="single" w:sz="8" w:space="0" w:color="auto"/>
              <w:right w:val="single" w:sz="8" w:space="0" w:color="auto"/>
            </w:tcBorders>
            <w:shd w:val="clear" w:color="auto" w:fill="EAEAEA"/>
            <w:noWrap/>
            <w:tcMar>
              <w:top w:w="0" w:type="dxa"/>
              <w:left w:w="149" w:type="dxa"/>
              <w:bottom w:w="0" w:type="dxa"/>
              <w:right w:w="149" w:type="dxa"/>
            </w:tcMa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0,6</w:t>
            </w:r>
          </w:p>
        </w:tc>
        <w:tc>
          <w:tcPr>
            <w:tcW w:w="1474" w:type="dxa"/>
            <w:tcBorders>
              <w:top w:val="nil"/>
              <w:left w:val="nil"/>
              <w:bottom w:val="single" w:sz="8" w:space="0" w:color="auto"/>
              <w:right w:val="single" w:sz="8" w:space="0" w:color="auto"/>
            </w:tcBorders>
            <w:shd w:val="clear" w:color="auto" w:fill="EAEAEA"/>
            <w:noWrap/>
            <w:tcMar>
              <w:top w:w="0" w:type="dxa"/>
              <w:left w:w="149" w:type="dxa"/>
              <w:bottom w:w="0" w:type="dxa"/>
              <w:right w:w="149" w:type="dxa"/>
            </w:tcMa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0,2</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PEO nawierzchniowe wykonane całości ze szkła stosowane są najczęściej do oznakowania rond, wysepek i azyli dla pieszych i innych powierzchni rzadko lub w ogóle nie najeżdżanych [4]. Są one produkowane ze szkła hartowanego o dużej wytrzymałości na uderzenie i na ściskanie, o unikalnej charakterystyce optycznej zapewniającej wielokierunkowość 360° lub 180°. Szklany nawierzchniowy PEO jest wklejany w wyfrezowany lub wywiercony otwór w nawierzchni. Nad powierzchnię drogi wystaje jedynie sferyczny odbłyśnik o wysokości maksimum 25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PEO krawężnikowe są instalowane w wywierconym cylindrycznym otworze przez wciśnięcie szklanego PEO w osłonie gumowej. Najczęściej umieszczane są w krawężnikach betonowych i kamiennych znajdujących się przy chodnikach wysp rozdzielających, środkowych i innych konstrukcji określających przebieg drogi czy wyłączających pewne powierzchnie z ruchu.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Aktywne punktowe elementy odblaskowe są szczególnie polecane do zastosowania w takich miejscach jak: przejścia dla pieszych. Są one zasilane z sieci lub przez własne ogniwo fotowoltaiczne z baterią, z jednym lub kilkoma punktami świetlnymi (diody LED) wysyłające pulsujące światło informujące prowadzącego pojazd o możliwym niebezpieczeństwie. Ten rodzaj PEO jest montowany przez umieszczenie w nawierzchni drogowej i przyklejenie przy użyciu gorącego lepiszcza asfaltowego lub kleju epoksydowego. Obudowa aktywnego PEO jest wykonana ze szkła hartowanego lub z metalu.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 z którego wykonano PEO powinien wykazywać odporność na ściskanie w temperaturze od -25°C do +60°C co najmniej siłą 60 </w:t>
      </w:r>
      <w:r w:rsidRPr="007078D3">
        <w:rPr>
          <w:rStyle w:val="spelle"/>
          <w:rFonts w:ascii="Times New Roman" w:hAnsi="Times New Roman" w:cs="Times New Roman"/>
          <w:color w:val="000000"/>
          <w:szCs w:val="20"/>
        </w:rPr>
        <w:t>kN</w:t>
      </w:r>
      <w:r w:rsidRPr="007078D3">
        <w:rPr>
          <w:rFonts w:ascii="Times New Roman" w:hAnsi="Times New Roman" w:cs="Times New Roman"/>
          <w:color w:val="000000"/>
          <w:szCs w:val="20"/>
        </w:rPr>
        <w:t> w badaniu pod prasą z przesuwem tłoka 6,3 mm/min [19].</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Badając użytkowe właściwości PEO na odcinku testowym, zgodnie z PN-EN 1263-2:2003 [5], na podstawie uzyskanych wyników określa się trwałość i zalicza wyrób do jednej z klas wg oceny podstawowej:</w:t>
      </w:r>
    </w:p>
    <w:p w:rsidR="00E847A6" w:rsidRPr="007078D3" w:rsidRDefault="00E847A6" w:rsidP="00E847A6">
      <w:pPr>
        <w:rPr>
          <w:rFonts w:ascii="Times New Roman" w:hAnsi="Times New Roman" w:cs="Times New Roman"/>
          <w:color w:val="000000"/>
          <w:szCs w:val="20"/>
        </w:rPr>
      </w:pP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S0:         właściwości nie oznaczone;</w:t>
      </w:r>
    </w:p>
    <w:p w:rsidR="00E847A6" w:rsidRPr="007078D3" w:rsidRDefault="00E847A6" w:rsidP="00E847A6">
      <w:pPr>
        <w:rPr>
          <w:rFonts w:ascii="Times New Roman" w:hAnsi="Times New Roman" w:cs="Times New Roman"/>
          <w:color w:val="000000"/>
          <w:szCs w:val="20"/>
        </w:rPr>
      </w:pP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S1:         42 i więcej pozostałych PEO;</w:t>
      </w:r>
    </w:p>
    <w:p w:rsidR="00E847A6" w:rsidRPr="007078D3" w:rsidRDefault="00E847A6" w:rsidP="00E847A6">
      <w:pPr>
        <w:rPr>
          <w:rFonts w:ascii="Times New Roman" w:hAnsi="Times New Roman" w:cs="Times New Roman"/>
          <w:color w:val="000000"/>
          <w:szCs w:val="20"/>
        </w:rPr>
      </w:pP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S2:         od 35 do 41 pozostałych PEO;</w:t>
      </w:r>
    </w:p>
    <w:p w:rsidR="00E847A6" w:rsidRPr="007078D3" w:rsidRDefault="00E847A6" w:rsidP="00E847A6">
      <w:pPr>
        <w:rPr>
          <w:rFonts w:ascii="Times New Roman" w:hAnsi="Times New Roman" w:cs="Times New Roman"/>
          <w:color w:val="000000"/>
          <w:szCs w:val="20"/>
        </w:rPr>
      </w:pP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S3:         od 1 do 34 pozostałych PEO.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Następnie na podstawie wyników badań odbicia powrotnego wykonanych na drodze lub po usunięciu z drogi i oczyszczeniu w laboratorium, zalicza się wyrób do jednej z klas widoczności w nocy:</w:t>
      </w:r>
    </w:p>
    <w:p w:rsidR="00E847A6" w:rsidRPr="007078D3" w:rsidRDefault="00E847A6" w:rsidP="00E847A6">
      <w:pPr>
        <w:rPr>
          <w:rFonts w:ascii="Times New Roman" w:hAnsi="Times New Roman" w:cs="Times New Roman"/>
          <w:color w:val="000000"/>
          <w:szCs w:val="20"/>
        </w:rPr>
      </w:pP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R0: właściwości nie oznaczone;</w:t>
      </w:r>
    </w:p>
    <w:p w:rsidR="00E847A6" w:rsidRPr="007078D3" w:rsidRDefault="00E847A6" w:rsidP="00E847A6">
      <w:pPr>
        <w:rPr>
          <w:rFonts w:ascii="Times New Roman" w:hAnsi="Times New Roman" w:cs="Times New Roman"/>
          <w:color w:val="000000"/>
          <w:szCs w:val="20"/>
        </w:rPr>
      </w:pP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R1: średnia wartość R od 99% do 100%;</w:t>
      </w:r>
    </w:p>
    <w:p w:rsidR="00E847A6" w:rsidRPr="007078D3" w:rsidRDefault="00E847A6" w:rsidP="00E847A6">
      <w:pPr>
        <w:rPr>
          <w:rFonts w:ascii="Times New Roman" w:hAnsi="Times New Roman" w:cs="Times New Roman"/>
          <w:color w:val="000000"/>
          <w:szCs w:val="20"/>
        </w:rPr>
      </w:pP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R2: średnia wartość R od 50% do 99%;</w:t>
      </w:r>
    </w:p>
    <w:p w:rsidR="00E847A6" w:rsidRPr="007078D3" w:rsidRDefault="00E847A6" w:rsidP="00E847A6">
      <w:pPr>
        <w:rPr>
          <w:rFonts w:ascii="Times New Roman" w:hAnsi="Times New Roman" w:cs="Times New Roman"/>
          <w:color w:val="000000"/>
          <w:szCs w:val="20"/>
        </w:rPr>
      </w:pP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R3: średnia wartość R od 20% do 49%;</w:t>
      </w:r>
    </w:p>
    <w:p w:rsidR="00E847A6" w:rsidRPr="007078D3" w:rsidRDefault="00E847A6" w:rsidP="00E847A6">
      <w:pPr>
        <w:rPr>
          <w:rFonts w:ascii="Times New Roman" w:hAnsi="Times New Roman" w:cs="Times New Roman"/>
          <w:color w:val="000000"/>
          <w:szCs w:val="20"/>
        </w:rPr>
      </w:pP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R4: średnia wartość R od 1% do 19%.</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Zaleca się stosowanie punktowych elementów odblaskowych spełniających wymagania klasy S1 i co najmniej klasy R2.</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2.9. Materiały dodatkowe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2.9.1.</w:t>
      </w:r>
      <w:r w:rsidRPr="007078D3">
        <w:rPr>
          <w:rFonts w:ascii="Times New Roman" w:hAnsi="Times New Roman" w:cs="Times New Roman"/>
          <w:color w:val="000000"/>
          <w:szCs w:val="20"/>
        </w:rPr>
        <w:t> Kulki szklane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Kulki szklane refleksyjne służą do zapewnienia widzialności oznakowania w nocy poprzez odbicie powrotne w kierunku pojazdu, wiązki światła wysyłanej przez reflektory pojazdu. Świeżo wykonane oznakowanie jest nimi posypywane pod ciśnieniem lub grawitacyjnie. W tablicy 5 zestawiono wymagania stawiane kulkom szklanym do posypywania.</w:t>
      </w:r>
    </w:p>
    <w:p w:rsidR="00E847A6" w:rsidRPr="007078D3" w:rsidRDefault="00E847A6" w:rsidP="00E847A6">
      <w:pPr>
        <w:ind w:left="993" w:hanging="993"/>
        <w:rPr>
          <w:rFonts w:ascii="Times New Roman" w:hAnsi="Times New Roman" w:cs="Times New Roman"/>
          <w:color w:val="000000"/>
          <w:szCs w:val="20"/>
        </w:rPr>
      </w:pPr>
      <w:r w:rsidRPr="007078D3">
        <w:rPr>
          <w:rFonts w:ascii="Times New Roman" w:hAnsi="Times New Roman" w:cs="Times New Roman"/>
          <w:color w:val="000000"/>
          <w:szCs w:val="20"/>
        </w:rPr>
        <w:t>Tablica 5. Wymagane właściwości kulek szklanych do posypywania. Metody badań według PN-EN 1423:2012 [3].</w:t>
      </w:r>
    </w:p>
    <w:tbl>
      <w:tblPr>
        <w:tblW w:w="8649" w:type="dxa"/>
        <w:tblInd w:w="113" w:type="dxa"/>
        <w:shd w:val="clear" w:color="auto" w:fill="EAEAEA"/>
        <w:tblCellMar>
          <w:left w:w="0" w:type="dxa"/>
          <w:right w:w="0" w:type="dxa"/>
        </w:tblCellMar>
        <w:tblLook w:val="04A0"/>
      </w:tblPr>
      <w:tblGrid>
        <w:gridCol w:w="569"/>
        <w:gridCol w:w="4961"/>
        <w:gridCol w:w="1134"/>
        <w:gridCol w:w="1985"/>
      </w:tblGrid>
      <w:tr w:rsidR="00E847A6" w:rsidRPr="00EF535A" w:rsidTr="007E50B3">
        <w:trPr>
          <w:tblHeader/>
        </w:trPr>
        <w:tc>
          <w:tcPr>
            <w:tcW w:w="569" w:type="dxa"/>
            <w:tcBorders>
              <w:top w:val="single" w:sz="8" w:space="0" w:color="auto"/>
              <w:left w:val="single" w:sz="8" w:space="0" w:color="auto"/>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Lp.</w:t>
            </w:r>
          </w:p>
        </w:tc>
        <w:tc>
          <w:tcPr>
            <w:tcW w:w="4961"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Właściwości</w:t>
            </w:r>
          </w:p>
        </w:tc>
        <w:tc>
          <w:tcPr>
            <w:tcW w:w="1134"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Jednostki</w:t>
            </w:r>
          </w:p>
        </w:tc>
        <w:tc>
          <w:tcPr>
            <w:tcW w:w="1985"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Wymagania</w:t>
            </w:r>
          </w:p>
        </w:tc>
      </w:tr>
      <w:tr w:rsidR="00E847A6" w:rsidRPr="00EF535A" w:rsidTr="007E50B3">
        <w:trPr>
          <w:trHeight w:val="284"/>
        </w:trPr>
        <w:tc>
          <w:tcPr>
            <w:tcW w:w="569"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496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załamania światła n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A)</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98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1,50</w:t>
            </w:r>
          </w:p>
        </w:tc>
      </w:tr>
      <w:tr w:rsidR="00E847A6" w:rsidRPr="00EF535A" w:rsidTr="007E50B3">
        <w:trPr>
          <w:trHeight w:val="20"/>
        </w:trPr>
        <w:tc>
          <w:tcPr>
            <w:tcW w:w="569"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4961" w:type="dxa"/>
            <w:tcBorders>
              <w:top w:val="nil"/>
              <w:left w:val="nil"/>
              <w:bottom w:val="single" w:sz="8" w:space="0" w:color="auto"/>
              <w:right w:val="nil"/>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Odporność na wodę, kwas solny, chlorek wapnia, siarczek sodowy</w:t>
            </w:r>
          </w:p>
        </w:tc>
        <w:tc>
          <w:tcPr>
            <w:tcW w:w="1134"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98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bez zmian na pow. brak ściemnienia</w:t>
            </w:r>
          </w:p>
        </w:tc>
      </w:tr>
      <w:tr w:rsidR="00E847A6" w:rsidRPr="00EF535A" w:rsidTr="007E50B3">
        <w:trPr>
          <w:trHeight w:val="20"/>
        </w:trPr>
        <w:tc>
          <w:tcPr>
            <w:tcW w:w="569"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4961" w:type="dxa"/>
            <w:tcBorders>
              <w:top w:val="nil"/>
              <w:left w:val="nil"/>
              <w:bottom w:val="single" w:sz="8" w:space="0" w:color="auto"/>
              <w:right w:val="nil"/>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Zawartość kulek zdefektowanych</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Zawartość ziaren i cząstek obcych</w:t>
            </w:r>
          </w:p>
        </w:tc>
        <w:tc>
          <w:tcPr>
            <w:tcW w:w="1134"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98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3</w:t>
            </w:r>
          </w:p>
        </w:tc>
      </w:tr>
      <w:tr w:rsidR="00E847A6" w:rsidRPr="00EF535A" w:rsidTr="007E50B3">
        <w:trPr>
          <w:trHeight w:val="20"/>
        </w:trPr>
        <w:tc>
          <w:tcPr>
            <w:tcW w:w="569"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4</w:t>
            </w:r>
          </w:p>
        </w:tc>
        <w:tc>
          <w:tcPr>
            <w:tcW w:w="4961" w:type="dxa"/>
            <w:tcBorders>
              <w:top w:val="nil"/>
              <w:left w:val="nil"/>
              <w:bottom w:val="single" w:sz="8" w:space="0" w:color="auto"/>
              <w:right w:val="nil"/>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Obróbka powierzchniowa</w:t>
            </w:r>
          </w:p>
        </w:tc>
        <w:tc>
          <w:tcPr>
            <w:tcW w:w="1134"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98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80</w:t>
            </w:r>
          </w:p>
        </w:tc>
      </w:tr>
      <w:tr w:rsidR="00E847A6" w:rsidRPr="00EF535A" w:rsidTr="007E50B3">
        <w:trPr>
          <w:trHeight w:val="20"/>
        </w:trPr>
        <w:tc>
          <w:tcPr>
            <w:tcW w:w="569"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4961" w:type="dxa"/>
            <w:tcBorders>
              <w:top w:val="nil"/>
              <w:left w:val="nil"/>
              <w:bottom w:val="single" w:sz="8" w:space="0" w:color="auto"/>
              <w:right w:val="nil"/>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Uziarnienie: pozostaje na sicie</w:t>
            </w:r>
          </w:p>
          <w:p w:rsidR="00E847A6" w:rsidRPr="00EF535A" w:rsidRDefault="00E847A6" w:rsidP="007E50B3">
            <w:pPr>
              <w:ind w:left="2625" w:hanging="357"/>
              <w:rPr>
                <w:rFonts w:ascii="Times New Roman" w:hAnsi="Times New Roman" w:cs="Times New Roman"/>
                <w:sz w:val="18"/>
                <w:szCs w:val="18"/>
              </w:rPr>
            </w:pPr>
            <w:r w:rsidRPr="00EF535A">
              <w:rPr>
                <w:rFonts w:ascii="Times New Roman" w:hAnsi="Times New Roman" w:cs="Times New Roman"/>
                <w:sz w:val="18"/>
                <w:szCs w:val="18"/>
              </w:rPr>
              <w:t>-          górnym granicznym</w:t>
            </w:r>
          </w:p>
          <w:p w:rsidR="00E847A6" w:rsidRPr="00EF535A" w:rsidRDefault="00E847A6" w:rsidP="007E50B3">
            <w:pPr>
              <w:ind w:left="2625" w:hanging="357"/>
              <w:rPr>
                <w:rFonts w:ascii="Times New Roman" w:hAnsi="Times New Roman" w:cs="Times New Roman"/>
                <w:sz w:val="18"/>
                <w:szCs w:val="18"/>
              </w:rPr>
            </w:pPr>
            <w:r w:rsidRPr="00EF535A">
              <w:rPr>
                <w:rFonts w:ascii="Times New Roman" w:hAnsi="Times New Roman" w:cs="Times New Roman"/>
                <w:sz w:val="18"/>
                <w:szCs w:val="18"/>
              </w:rPr>
              <w:t>-          górnym nominalnym</w:t>
            </w:r>
          </w:p>
          <w:p w:rsidR="00E847A6" w:rsidRPr="00EF535A" w:rsidRDefault="00E847A6" w:rsidP="007E50B3">
            <w:pPr>
              <w:ind w:left="2625" w:hanging="357"/>
              <w:rPr>
                <w:rFonts w:ascii="Times New Roman" w:hAnsi="Times New Roman" w:cs="Times New Roman"/>
                <w:sz w:val="18"/>
                <w:szCs w:val="18"/>
              </w:rPr>
            </w:pPr>
            <w:r w:rsidRPr="00EF535A">
              <w:rPr>
                <w:rFonts w:ascii="Times New Roman" w:hAnsi="Times New Roman" w:cs="Times New Roman"/>
                <w:sz w:val="18"/>
                <w:szCs w:val="18"/>
              </w:rPr>
              <w:t>-          pośrednim</w:t>
            </w:r>
          </w:p>
          <w:p w:rsidR="00E847A6" w:rsidRPr="00EF535A" w:rsidRDefault="00E847A6" w:rsidP="007E50B3">
            <w:pPr>
              <w:ind w:left="2625" w:hanging="357"/>
              <w:rPr>
                <w:rFonts w:ascii="Times New Roman" w:hAnsi="Times New Roman" w:cs="Times New Roman"/>
                <w:sz w:val="18"/>
                <w:szCs w:val="18"/>
              </w:rPr>
            </w:pPr>
            <w:r w:rsidRPr="00EF535A">
              <w:rPr>
                <w:rFonts w:ascii="Times New Roman" w:hAnsi="Times New Roman" w:cs="Times New Roman"/>
                <w:sz w:val="18"/>
                <w:szCs w:val="18"/>
              </w:rPr>
              <w:t>-          dolnym nominalnym</w:t>
            </w:r>
          </w:p>
        </w:tc>
        <w:tc>
          <w:tcPr>
            <w:tcW w:w="1134"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(m/m)</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198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0 do 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0 do 10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N1 do N2*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95 do 100</w:t>
            </w:r>
          </w:p>
        </w:tc>
      </w:tr>
      <w:tr w:rsidR="00E847A6" w:rsidRPr="00EF535A" w:rsidTr="007E50B3">
        <w:trPr>
          <w:trHeight w:val="20"/>
        </w:trPr>
        <w:tc>
          <w:tcPr>
            <w:tcW w:w="569"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6</w:t>
            </w:r>
          </w:p>
        </w:tc>
        <w:tc>
          <w:tcPr>
            <w:tcW w:w="4961" w:type="dxa"/>
            <w:tcBorders>
              <w:top w:val="nil"/>
              <w:left w:val="nil"/>
              <w:bottom w:val="single" w:sz="8" w:space="0" w:color="auto"/>
              <w:right w:val="nil"/>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Zawartość metali ciężkich: arsenu, ołowiu i antymonu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2)</w:t>
            </w:r>
          </w:p>
        </w:tc>
        <w:tc>
          <w:tcPr>
            <w:tcW w:w="1134"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ppm</w:t>
            </w:r>
          </w:p>
        </w:tc>
        <w:tc>
          <w:tcPr>
            <w:tcW w:w="198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£ 200</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kolejne sita pośrednie muszą spełniać warunek N2 - N1</w:t>
      </w:r>
      <w:r w:rsidRPr="007078D3">
        <w:rPr>
          <w:rFonts w:ascii="Times New Roman" w:hAnsi="Times New Roman" w:cs="Times New Roman"/>
          <w:i/>
          <w:iCs/>
          <w:color w:val="000000"/>
          <w:szCs w:val="20"/>
        </w:rPr>
        <w:t> </w:t>
      </w:r>
      <w:r w:rsidRPr="007078D3">
        <w:rPr>
          <w:rFonts w:ascii="Times New Roman" w:hAnsi="Times New Roman" w:cs="Times New Roman"/>
          <w:color w:val="000000"/>
          <w:szCs w:val="20"/>
        </w:rPr>
        <w:t>≤ 40 % (m/m)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Kulki szklane łącznie z farbą lub masą stanowią system oznakowania (zestaw) i są nierozłącznym składnikiem oznakowań odblaskowych.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Właściwości kulek szklanych są określone w krajowej deklaracji właściwości użytkowych i odpowiednich specyfikacjach technicznych [3].</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2.9.2.</w:t>
      </w:r>
      <w:r w:rsidRPr="007078D3">
        <w:rPr>
          <w:rFonts w:ascii="Times New Roman" w:hAnsi="Times New Roman" w:cs="Times New Roman"/>
          <w:color w:val="000000"/>
          <w:szCs w:val="20"/>
        </w:rPr>
        <w:t> Materiał </w:t>
      </w:r>
      <w:r w:rsidRPr="007078D3">
        <w:rPr>
          <w:rStyle w:val="spelle"/>
          <w:rFonts w:ascii="Times New Roman" w:hAnsi="Times New Roman" w:cs="Times New Roman"/>
          <w:color w:val="000000"/>
          <w:szCs w:val="20"/>
        </w:rPr>
        <w:t>uszorstniający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 </w:t>
      </w:r>
      <w:r w:rsidRPr="007078D3">
        <w:rPr>
          <w:rStyle w:val="spelle"/>
          <w:rFonts w:ascii="Times New Roman" w:hAnsi="Times New Roman" w:cs="Times New Roman"/>
          <w:color w:val="000000"/>
          <w:szCs w:val="20"/>
        </w:rPr>
        <w:t>uszorstniający</w:t>
      </w:r>
      <w:r w:rsidRPr="007078D3">
        <w:rPr>
          <w:rFonts w:ascii="Times New Roman" w:hAnsi="Times New Roman" w:cs="Times New Roman"/>
          <w:i/>
          <w:iCs/>
          <w:color w:val="000000"/>
          <w:szCs w:val="20"/>
        </w:rPr>
        <w:t> </w:t>
      </w:r>
      <w:r w:rsidRPr="007078D3">
        <w:rPr>
          <w:rFonts w:ascii="Times New Roman" w:hAnsi="Times New Roman" w:cs="Times New Roman"/>
          <w:color w:val="000000"/>
          <w:szCs w:val="20"/>
        </w:rPr>
        <w:t>oznakowanie powinien składać się z naturalnego lub sztucznego twardego kruszywa (np. krystobalitu), stosowanego w celu zapewnienia oznakowaniu odpowiedniej szorstkości (właściwości antypoślizgowych). Materiał </w:t>
      </w:r>
      <w:r w:rsidRPr="007078D3">
        <w:rPr>
          <w:rStyle w:val="spelle"/>
          <w:rFonts w:ascii="Times New Roman" w:hAnsi="Times New Roman" w:cs="Times New Roman"/>
          <w:color w:val="000000"/>
          <w:szCs w:val="20"/>
        </w:rPr>
        <w:t>uszorstniający</w:t>
      </w:r>
      <w:r w:rsidRPr="007078D3">
        <w:rPr>
          <w:rFonts w:ascii="Times New Roman" w:hAnsi="Times New Roman" w:cs="Times New Roman"/>
          <w:color w:val="000000"/>
          <w:szCs w:val="20"/>
        </w:rPr>
        <w:t> nie może zawierać więcej niż 1% cząstek mniejszych niż 90 mm. Potrzeba stosowania materiału </w:t>
      </w:r>
      <w:r w:rsidRPr="007078D3">
        <w:rPr>
          <w:rStyle w:val="spelle"/>
          <w:rFonts w:ascii="Times New Roman" w:hAnsi="Times New Roman" w:cs="Times New Roman"/>
          <w:color w:val="000000"/>
          <w:szCs w:val="20"/>
        </w:rPr>
        <w:t>uszorstniającego</w:t>
      </w:r>
      <w:r w:rsidRPr="007078D3">
        <w:rPr>
          <w:rFonts w:ascii="Times New Roman" w:hAnsi="Times New Roman" w:cs="Times New Roman"/>
          <w:color w:val="000000"/>
          <w:szCs w:val="20"/>
        </w:rPr>
        <w:t> powinna być określona w ST. Konieczność jego użycia zachodzi w przypadku potrzeby uzyskania wskaźnika szorstkości oznakowania  SRT ³ 50. Materiał </w:t>
      </w:r>
      <w:r w:rsidRPr="007078D3">
        <w:rPr>
          <w:rStyle w:val="spelle"/>
          <w:rFonts w:ascii="Times New Roman" w:hAnsi="Times New Roman" w:cs="Times New Roman"/>
          <w:color w:val="000000"/>
          <w:szCs w:val="20"/>
        </w:rPr>
        <w:t>uszorstniający</w:t>
      </w:r>
      <w:r w:rsidRPr="007078D3">
        <w:rPr>
          <w:rFonts w:ascii="Times New Roman" w:hAnsi="Times New Roman" w:cs="Times New Roman"/>
          <w:color w:val="000000"/>
          <w:szCs w:val="20"/>
        </w:rPr>
        <w:t> stosowany jest w mieszaninie z kulkami szklanymi zazwyczaj w dodatku 25% (m/m). Materiał </w:t>
      </w:r>
      <w:r w:rsidRPr="007078D3">
        <w:rPr>
          <w:rStyle w:val="spelle"/>
          <w:rFonts w:ascii="Times New Roman" w:hAnsi="Times New Roman" w:cs="Times New Roman"/>
          <w:color w:val="000000"/>
          <w:szCs w:val="20"/>
        </w:rPr>
        <w:t>uszorstniający</w:t>
      </w:r>
      <w:r w:rsidRPr="007078D3">
        <w:rPr>
          <w:rFonts w:ascii="Times New Roman" w:hAnsi="Times New Roman" w:cs="Times New Roman"/>
          <w:color w:val="000000"/>
          <w:szCs w:val="20"/>
        </w:rPr>
        <w:t> (kruszywo przeciwpoślizgowe) oraz mieszanina kulek szklanych z materiałem </w:t>
      </w:r>
      <w:r w:rsidRPr="007078D3">
        <w:rPr>
          <w:rStyle w:val="spelle"/>
          <w:rFonts w:ascii="Times New Roman" w:hAnsi="Times New Roman" w:cs="Times New Roman"/>
          <w:color w:val="000000"/>
          <w:szCs w:val="20"/>
        </w:rPr>
        <w:t>uszorstniającym</w:t>
      </w:r>
      <w:r w:rsidRPr="007078D3">
        <w:rPr>
          <w:rFonts w:ascii="Times New Roman" w:hAnsi="Times New Roman" w:cs="Times New Roman"/>
          <w:color w:val="000000"/>
          <w:szCs w:val="20"/>
        </w:rPr>
        <w:t> powinny odpowiadać wymaganiom określonym w tablicy 6.</w:t>
      </w:r>
    </w:p>
    <w:p w:rsidR="00E847A6" w:rsidRPr="007078D3" w:rsidRDefault="00E847A6" w:rsidP="00E847A6">
      <w:pPr>
        <w:ind w:left="993" w:hanging="993"/>
        <w:rPr>
          <w:rFonts w:ascii="Times New Roman" w:hAnsi="Times New Roman" w:cs="Times New Roman"/>
          <w:color w:val="000000"/>
          <w:szCs w:val="20"/>
        </w:rPr>
      </w:pPr>
      <w:r w:rsidRPr="007078D3">
        <w:rPr>
          <w:rFonts w:ascii="Times New Roman" w:hAnsi="Times New Roman" w:cs="Times New Roman"/>
          <w:color w:val="000000"/>
          <w:szCs w:val="20"/>
        </w:rPr>
        <w:t>Tablica 6. Wymagane właściwości kruszyw antypoślizgowych do posypywania. Metody badań według PN-EN 1423:2012 [3].</w:t>
      </w:r>
    </w:p>
    <w:tbl>
      <w:tblPr>
        <w:tblW w:w="8647" w:type="dxa"/>
        <w:tblInd w:w="113" w:type="dxa"/>
        <w:shd w:val="clear" w:color="auto" w:fill="EAEAEA"/>
        <w:tblCellMar>
          <w:left w:w="0" w:type="dxa"/>
          <w:right w:w="0" w:type="dxa"/>
        </w:tblCellMar>
        <w:tblLook w:val="04A0"/>
      </w:tblPr>
      <w:tblGrid>
        <w:gridCol w:w="567"/>
        <w:gridCol w:w="4962"/>
        <w:gridCol w:w="1134"/>
        <w:gridCol w:w="1984"/>
      </w:tblGrid>
      <w:tr w:rsidR="00E847A6" w:rsidRPr="00EF535A" w:rsidTr="007E50B3">
        <w:trPr>
          <w:tblHeader/>
        </w:trPr>
        <w:tc>
          <w:tcPr>
            <w:tcW w:w="567" w:type="dxa"/>
            <w:tcBorders>
              <w:top w:val="single" w:sz="8" w:space="0" w:color="auto"/>
              <w:left w:val="single" w:sz="8" w:space="0" w:color="auto"/>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Lp.</w:t>
            </w:r>
          </w:p>
        </w:tc>
        <w:tc>
          <w:tcPr>
            <w:tcW w:w="4962"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Właściwości</w:t>
            </w:r>
          </w:p>
        </w:tc>
        <w:tc>
          <w:tcPr>
            <w:tcW w:w="1134"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Jednostki</w:t>
            </w:r>
          </w:p>
        </w:tc>
        <w:tc>
          <w:tcPr>
            <w:tcW w:w="1984"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Wymagania</w:t>
            </w:r>
          </w:p>
        </w:tc>
      </w:tr>
      <w:tr w:rsidR="00E847A6" w:rsidRPr="00EF535A" w:rsidTr="007E50B3">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496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Wartość </w:t>
            </w:r>
            <w:r w:rsidRPr="00EF535A">
              <w:rPr>
                <w:rStyle w:val="spelle"/>
                <w:rFonts w:ascii="Times New Roman" w:hAnsi="Times New Roman" w:cs="Times New Roman"/>
                <w:sz w:val="18"/>
                <w:szCs w:val="18"/>
              </w:rPr>
              <w:t>pH</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rPr>
              <w:t>pH</w:t>
            </w:r>
          </w:p>
        </w:tc>
        <w:tc>
          <w:tcPr>
            <w:tcW w:w="198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5 do 11</w:t>
            </w:r>
          </w:p>
        </w:tc>
      </w:tr>
      <w:tr w:rsidR="00E847A6" w:rsidRPr="00EF535A" w:rsidTr="007E50B3">
        <w:trPr>
          <w:trHeight w:val="20"/>
        </w:trPr>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4962" w:type="dxa"/>
            <w:tcBorders>
              <w:top w:val="nil"/>
              <w:left w:val="nil"/>
              <w:bottom w:val="single" w:sz="8" w:space="0" w:color="auto"/>
              <w:right w:val="nil"/>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Wskaźnik łamliwości</w:t>
            </w:r>
          </w:p>
        </w:tc>
        <w:tc>
          <w:tcPr>
            <w:tcW w:w="1134"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98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9,5</w:t>
            </w:r>
          </w:p>
        </w:tc>
      </w:tr>
      <w:tr w:rsidR="00E847A6" w:rsidRPr="00EF535A" w:rsidTr="007E50B3">
        <w:trPr>
          <w:trHeight w:val="20"/>
        </w:trPr>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4962" w:type="dxa"/>
            <w:tcBorders>
              <w:top w:val="nil"/>
              <w:left w:val="nil"/>
              <w:bottom w:val="single" w:sz="8" w:space="0" w:color="auto"/>
              <w:right w:val="nil"/>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b</w:t>
            </w:r>
          </w:p>
        </w:tc>
        <w:tc>
          <w:tcPr>
            <w:tcW w:w="1134"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98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&gt; 0,70</w:t>
            </w:r>
          </w:p>
        </w:tc>
      </w:tr>
      <w:tr w:rsidR="00E847A6" w:rsidRPr="00EF535A" w:rsidTr="007E50B3">
        <w:trPr>
          <w:trHeight w:val="20"/>
        </w:trPr>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4</w:t>
            </w:r>
          </w:p>
        </w:tc>
        <w:tc>
          <w:tcPr>
            <w:tcW w:w="4962" w:type="dxa"/>
            <w:tcBorders>
              <w:top w:val="nil"/>
              <w:left w:val="nil"/>
              <w:bottom w:val="single" w:sz="8" w:space="0" w:color="auto"/>
              <w:right w:val="nil"/>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Współrzędne chromatyczności x i y</w:t>
            </w:r>
          </w:p>
        </w:tc>
        <w:tc>
          <w:tcPr>
            <w:tcW w:w="1134"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98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 tablicy 9</w:t>
            </w:r>
          </w:p>
        </w:tc>
      </w:tr>
      <w:tr w:rsidR="00E847A6" w:rsidRPr="00EF535A" w:rsidTr="007E50B3">
        <w:trPr>
          <w:trHeight w:val="1713"/>
        </w:trPr>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4962" w:type="dxa"/>
            <w:tcBorders>
              <w:top w:val="nil"/>
              <w:left w:val="nil"/>
              <w:bottom w:val="single" w:sz="8" w:space="0" w:color="auto"/>
              <w:right w:val="nil"/>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Uziarnienie: pozostaje na sicie</w:t>
            </w:r>
          </w:p>
          <w:p w:rsidR="00E847A6" w:rsidRPr="00EF535A" w:rsidRDefault="00E847A6" w:rsidP="007E50B3">
            <w:pPr>
              <w:ind w:left="2627" w:hanging="360"/>
              <w:rPr>
                <w:rFonts w:ascii="Times New Roman" w:hAnsi="Times New Roman" w:cs="Times New Roman"/>
                <w:sz w:val="18"/>
                <w:szCs w:val="18"/>
              </w:rPr>
            </w:pPr>
            <w:r w:rsidRPr="00EF535A">
              <w:rPr>
                <w:rFonts w:ascii="Times New Roman" w:hAnsi="Times New Roman" w:cs="Times New Roman"/>
                <w:sz w:val="18"/>
                <w:szCs w:val="18"/>
              </w:rPr>
              <w:t>-          górnym granicznym</w:t>
            </w:r>
          </w:p>
          <w:p w:rsidR="00E847A6" w:rsidRPr="00EF535A" w:rsidRDefault="00E847A6" w:rsidP="007E50B3">
            <w:pPr>
              <w:ind w:left="2627" w:hanging="360"/>
              <w:rPr>
                <w:rFonts w:ascii="Times New Roman" w:hAnsi="Times New Roman" w:cs="Times New Roman"/>
                <w:sz w:val="18"/>
                <w:szCs w:val="18"/>
              </w:rPr>
            </w:pPr>
            <w:r w:rsidRPr="00EF535A">
              <w:rPr>
                <w:rFonts w:ascii="Times New Roman" w:hAnsi="Times New Roman" w:cs="Times New Roman"/>
                <w:sz w:val="18"/>
                <w:szCs w:val="18"/>
              </w:rPr>
              <w:t>-          górnym nominalnym</w:t>
            </w:r>
          </w:p>
          <w:p w:rsidR="00E847A6" w:rsidRPr="00EF535A" w:rsidRDefault="00E847A6" w:rsidP="007E50B3">
            <w:pPr>
              <w:ind w:left="2627" w:hanging="360"/>
              <w:rPr>
                <w:rFonts w:ascii="Times New Roman" w:hAnsi="Times New Roman" w:cs="Times New Roman"/>
                <w:sz w:val="18"/>
                <w:szCs w:val="18"/>
              </w:rPr>
            </w:pPr>
            <w:r w:rsidRPr="00EF535A">
              <w:rPr>
                <w:rFonts w:ascii="Times New Roman" w:hAnsi="Times New Roman" w:cs="Times New Roman"/>
                <w:sz w:val="18"/>
                <w:szCs w:val="18"/>
              </w:rPr>
              <w:t>-          pośrednim</w:t>
            </w:r>
          </w:p>
          <w:p w:rsidR="00E847A6" w:rsidRPr="00EF535A" w:rsidRDefault="00E847A6" w:rsidP="007E50B3">
            <w:pPr>
              <w:ind w:left="2627" w:hanging="360"/>
              <w:rPr>
                <w:rFonts w:ascii="Times New Roman" w:hAnsi="Times New Roman" w:cs="Times New Roman"/>
                <w:sz w:val="18"/>
                <w:szCs w:val="18"/>
              </w:rPr>
            </w:pPr>
            <w:r w:rsidRPr="00EF535A">
              <w:rPr>
                <w:rFonts w:ascii="Times New Roman" w:hAnsi="Times New Roman" w:cs="Times New Roman"/>
                <w:sz w:val="18"/>
                <w:szCs w:val="18"/>
              </w:rPr>
              <w:t>-          dolnym nominalnym</w:t>
            </w:r>
          </w:p>
        </w:tc>
        <w:tc>
          <w:tcPr>
            <w:tcW w:w="1134"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(m/m)</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198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0 do 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0 do 10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N1 do N2*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95 do 100</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kolejne sita pośrednie muszą spełniać warunek </w:t>
      </w:r>
      <w:r w:rsidRPr="007078D3">
        <w:rPr>
          <w:rFonts w:ascii="Times New Roman" w:hAnsi="Times New Roman" w:cs="Times New Roman"/>
          <w:i/>
          <w:iCs/>
          <w:color w:val="000000"/>
          <w:szCs w:val="20"/>
        </w:rPr>
        <w:t>N2 - N1 </w:t>
      </w:r>
      <w:r w:rsidRPr="007078D3">
        <w:rPr>
          <w:rFonts w:ascii="Times New Roman" w:hAnsi="Times New Roman" w:cs="Times New Roman"/>
          <w:color w:val="000000"/>
          <w:szCs w:val="20"/>
        </w:rPr>
        <w:t>≤ 40% (m/m)</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2.10. Wymagania wobec materiałów ze względu na ochronę warunków pracy i środowiska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Materiały stosowane do znakowania nawierzchni nie powinny zawierać substancji zagrażających zdrowiu ludzi i powodujących skażenie środowiska. Jeśli jednak zawierają, należy stosować się do zapisów zawartych w karcie charakterystyki wyrobu i ogólnych przepisach </w:t>
      </w:r>
      <w:r w:rsidRPr="007078D3">
        <w:rPr>
          <w:rStyle w:val="spelle"/>
          <w:rFonts w:ascii="Times New Roman" w:hAnsi="Times New Roman" w:cs="Times New Roman"/>
          <w:color w:val="000000"/>
          <w:szCs w:val="20"/>
        </w:rPr>
        <w:t>bhp</w:t>
      </w:r>
      <w:r w:rsidRPr="007078D3">
        <w:rPr>
          <w:rFonts w:ascii="Times New Roman" w:hAnsi="Times New Roman" w:cs="Times New Roman"/>
          <w:color w:val="000000"/>
          <w:szCs w:val="20"/>
        </w:rPr>
        <w:t>.</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2.11. Przechowywanie i składowanie materiałów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Materiały do oznakowania cienko- i grubowarstwowego nawierzchni powinny zachować stałość swoich właściwości chemicznych i fizykochemicznych przez okres co najmniej 6 miesięcy składowania w warunkach określonych przez producenta.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Materiały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należy przechowywać w magazynach odpowiadających zaleceniom producenta, zwłaszcza zabezpieczających je od napromieniowania słonecznego, opadów i w temperaturze, dla:</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a)    farb wodorozcieńczalnych od 5°C do 35°C,</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farb rozpuszczalnikowych od -5°C do 25°C,</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c)    pozostałych materiałów - poniżej 35°C.</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05" w:name="_Toc505849076"/>
      <w:r w:rsidRPr="007078D3">
        <w:rPr>
          <w:rFonts w:ascii="Times New Roman" w:hAnsi="Times New Roman"/>
          <w:caps/>
          <w:color w:val="000000"/>
          <w:szCs w:val="20"/>
        </w:rPr>
        <w:t>3. SPRZĘT</w:t>
      </w:r>
      <w:bookmarkEnd w:id="1305"/>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3.1. Ogólne wymagania dotyczące sprzętu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sprzętu podano w </w:t>
      </w:r>
      <w:r>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pkt. 3.</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3.2. Sprzęt do wykonania oznakowania poziomego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Wykonawca przystępujący do wykonania oznakowania poziomego, w zależności od zakresu robót, powinien wykazać się możliwością korzystania z następującego sprzętu, zaakceptowanego przez Inżyniera:</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szczotek mechanicznych (zaleca się stosowanie szczotek wyposażonych w urządzenia odpylające) oraz szczotek ręcznych,</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frezarek,</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sprężarek,</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malowarek</w:t>
      </w:r>
      <w:r w:rsidRPr="007078D3">
        <w:rPr>
          <w:rFonts w:ascii="Times New Roman" w:hAnsi="Times New Roman" w:cs="Times New Roman"/>
          <w:color w:val="000000"/>
          <w:szCs w:val="20"/>
        </w:rPr>
        <w:t> liniowych,</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malowarek</w:t>
      </w:r>
      <w:r w:rsidRPr="007078D3">
        <w:rPr>
          <w:rFonts w:ascii="Times New Roman" w:hAnsi="Times New Roman" w:cs="Times New Roman"/>
          <w:color w:val="000000"/>
          <w:szCs w:val="20"/>
        </w:rPr>
        <w:t> ręcznych,</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układarek mas termoplastycznych i chemoutwardzalnych,</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wyklejarek</w:t>
      </w:r>
      <w:r w:rsidRPr="007078D3">
        <w:rPr>
          <w:rFonts w:ascii="Times New Roman" w:hAnsi="Times New Roman" w:cs="Times New Roman"/>
          <w:color w:val="000000"/>
          <w:szCs w:val="20"/>
        </w:rPr>
        <w:t> do taśm,</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sprzętu do badań określonego w ST,</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urządzeń bezpieczeństwa ruchu do oznakowania i zabezpieczenia robót,</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wiertnic (dotyczy PEO),</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sprzętu geodezyjnego do </w:t>
      </w:r>
      <w:r w:rsidRPr="007078D3">
        <w:rPr>
          <w:rStyle w:val="spelle"/>
          <w:rFonts w:ascii="Times New Roman" w:hAnsi="Times New Roman" w:cs="Times New Roman"/>
          <w:color w:val="000000"/>
          <w:szCs w:val="20"/>
        </w:rPr>
        <w:t>przedznakowania</w:t>
      </w:r>
      <w:r w:rsidRPr="007078D3">
        <w:rPr>
          <w:rFonts w:ascii="Times New Roman" w:hAnsi="Times New Roman" w:cs="Times New Roman"/>
          <w:color w:val="000000"/>
          <w:szCs w:val="20"/>
        </w:rPr>
        <w:t>,</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szablonów do symboli i napisów,</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palników do wtapiania oznakowania z prefabrykowanej masy termoplastycznej.</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Wykonawca powinien zapewnić odpowiednią jakość, ilość i wydajność </w:t>
      </w:r>
      <w:r w:rsidRPr="007078D3">
        <w:rPr>
          <w:rStyle w:val="spelle"/>
          <w:rFonts w:ascii="Times New Roman" w:hAnsi="Times New Roman" w:cs="Times New Roman"/>
          <w:color w:val="000000"/>
          <w:szCs w:val="20"/>
        </w:rPr>
        <w:t>malowarek</w:t>
      </w:r>
      <w:r w:rsidRPr="007078D3">
        <w:rPr>
          <w:rFonts w:ascii="Times New Roman" w:hAnsi="Times New Roman" w:cs="Times New Roman"/>
          <w:color w:val="000000"/>
          <w:szCs w:val="20"/>
        </w:rPr>
        <w:t> lub układarek proporcjonalną do wielkości i czasu wykonania całego zakresu robót.</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06" w:name="_Toc505849077"/>
      <w:r w:rsidRPr="007078D3">
        <w:rPr>
          <w:rFonts w:ascii="Times New Roman" w:hAnsi="Times New Roman"/>
          <w:caps/>
          <w:color w:val="000000"/>
          <w:szCs w:val="20"/>
        </w:rPr>
        <w:t>4. TRANSPORT</w:t>
      </w:r>
      <w:bookmarkEnd w:id="1306"/>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4.1. Ogólne wymagania dotyczące transportu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transportu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4. Materiały do znakowania drogi, spełniające wymagania podane w punkcie 2, powinny być dostarczone w oryginalnych opakowaniach handlowych i stosowane zgodnie z zaleceniami ST, producenta oraz wymaganiami znajdującymi się w aprobacie technicznej lub krajowej ocenie technicznej.</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4.2. Przewóz materiałów do poziomego znakowania </w:t>
      </w:r>
      <w:r w:rsidRPr="007078D3">
        <w:rPr>
          <w:rStyle w:val="spelle"/>
          <w:rFonts w:ascii="Times New Roman" w:eastAsiaTheme="majorEastAsia" w:hAnsi="Times New Roman"/>
          <w:color w:val="000000"/>
          <w:szCs w:val="20"/>
        </w:rPr>
        <w:t>dróg</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Materiały do poziomego 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należy przewozić w opakowaniach zapewniających szczelność, bezpieczny transport i zachowanie wymaganych właściwości materiałów. Pojemniki powinny być oznakowane zgodnie z normą PN-O-79252 [6]. W przypadku  materiałów niebezpiecznych opakowania powinny być oznakowane zgodnie z rozporządzeniem Ministra Zdrowia w sprawie oznakowania opakowań substancji niebezpiecznych[18].</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Farby rozpuszczalnikowe, rozpuszczalniki palne oraz farby i masy chemoutwardzalne należy transportować zgodnie z postanowieniami umowy międzynarodowej ADR [20] dla transportu drogowego materiałów palnych, klasy 3, oraz szczegółowymi zaleceniami zawartymi w karcie charakterystyki wyrobu sporządzonej przez producenta. Wyroby, wyżej wymienione, nie posiadające karty charakterystyki nie powinny być dopuszczone do transportu.</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Pozostałe materiały do znakowania poziomego należy przewozić krytymi środkami transportowymi, chroniąc opakowania przed uszkodzeniem mechanicznym, zgodnie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z PN-C-81400:1989 [7] oraz zgodnie z prawem przewozowym [21].</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07" w:name="_Toc505849078"/>
      <w:r w:rsidRPr="007078D3">
        <w:rPr>
          <w:rFonts w:ascii="Times New Roman" w:hAnsi="Times New Roman"/>
          <w:caps/>
          <w:color w:val="000000"/>
          <w:szCs w:val="20"/>
        </w:rPr>
        <w:t>5. WYKONANIE ROBÓT</w:t>
      </w:r>
      <w:bookmarkEnd w:id="1307"/>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5.1. Ogólne zasady wykonania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xml:space="preserve">            Ogólne zasady wykonania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5. Nowe i odnowione nawierzchnie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przed otwarciem do ruchu musza być oznakowane zgodnie z dokumentacją projektowa lub ST.</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Wykonanie oznakowania poziomego, zarówno cienkowarstwowego jak i grubowarstwowego, zależy od warunków stosowania. W ich zakres wchodzą rodzaj i stan nawierzchni drogi, temperatura nawierzchni i powietrza, wilgotność względna powietrza, zalecana grubość powłoki i sprzęt do wykonania aplikacji. Przy wykonywaniu nowego oznakowania poziomego, spowodowanego zmianami organizacji ruchu, należy dokładnie usunąć zbędne stare oznakowanie.</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5.2. Warunki atmosferyczne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czasie wykonywania oznakowania temperatura nawierzchni i powietrza powinna wynosić co najmniej 5°C, a wilgotność względna powietrza powinna być zgodna z zaleceniami producenta lub wynosić co najwyżej 85%. Szczególnie podczas prac wykonywanych w nocy należy zwrócić uwagę, czy nie został przekroczony punkt rosy. Wartość punktu rosy odczytuje się z tablicy 7. Przekroczenie punktu rosy obliguje Wykonawcę do zastosowania osuszania nawierzchni malowanej lub przerwania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7. Oznaczenie punktu rosy</w:t>
      </w:r>
    </w:p>
    <w:tbl>
      <w:tblPr>
        <w:tblW w:w="8789" w:type="dxa"/>
        <w:tblInd w:w="129" w:type="dxa"/>
        <w:shd w:val="clear" w:color="auto" w:fill="EAEAEA"/>
        <w:tblCellMar>
          <w:left w:w="0" w:type="dxa"/>
          <w:right w:w="0" w:type="dxa"/>
        </w:tblCellMar>
        <w:tblLook w:val="04A0"/>
      </w:tblPr>
      <w:tblGrid>
        <w:gridCol w:w="1026"/>
        <w:gridCol w:w="797"/>
        <w:gridCol w:w="906"/>
        <w:gridCol w:w="906"/>
        <w:gridCol w:w="906"/>
        <w:gridCol w:w="906"/>
        <w:gridCol w:w="906"/>
        <w:gridCol w:w="735"/>
        <w:gridCol w:w="850"/>
        <w:gridCol w:w="851"/>
      </w:tblGrid>
      <w:tr w:rsidR="00E847A6" w:rsidRPr="00EF535A" w:rsidTr="007E50B3">
        <w:trPr>
          <w:tblHeader/>
        </w:trPr>
        <w:tc>
          <w:tcPr>
            <w:tcW w:w="1026" w:type="dxa"/>
            <w:tcBorders>
              <w:top w:val="single" w:sz="8" w:space="0" w:color="auto"/>
              <w:left w:val="single" w:sz="8" w:space="0" w:color="auto"/>
              <w:bottom w:val="single" w:sz="8" w:space="0" w:color="auto"/>
              <w:right w:val="single" w:sz="8" w:space="0" w:color="auto"/>
            </w:tcBorders>
            <w:shd w:val="clear" w:color="auto" w:fill="EAEAEA"/>
            <w:noWrap/>
            <w:tcMar>
              <w:top w:w="0" w:type="dxa"/>
              <w:left w:w="129" w:type="dxa"/>
              <w:bottom w:w="0" w:type="dxa"/>
              <w:right w:w="129"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Temp.</w:t>
            </w:r>
          </w:p>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rPr>
              <w:t>powie-trza</w:t>
            </w:r>
            <w:r w:rsidRPr="00EF535A">
              <w:rPr>
                <w:rFonts w:ascii="Times New Roman" w:hAnsi="Times New Roman" w:cs="Times New Roman"/>
                <w:sz w:val="18"/>
                <w:szCs w:val="18"/>
              </w:rPr>
              <w:t>, °C</w:t>
            </w:r>
          </w:p>
        </w:tc>
        <w:tc>
          <w:tcPr>
            <w:tcW w:w="7763" w:type="dxa"/>
            <w:gridSpan w:val="9"/>
            <w:tcBorders>
              <w:top w:val="single" w:sz="8" w:space="0" w:color="auto"/>
              <w:left w:val="nil"/>
              <w:bottom w:val="single" w:sz="8" w:space="0" w:color="auto"/>
              <w:right w:val="single" w:sz="8" w:space="0" w:color="auto"/>
            </w:tcBorders>
            <w:shd w:val="clear" w:color="auto" w:fill="EAEAEA"/>
            <w:noWrap/>
            <w:tcMar>
              <w:top w:w="0" w:type="dxa"/>
              <w:left w:w="129" w:type="dxa"/>
              <w:bottom w:w="0" w:type="dxa"/>
              <w:right w:w="129"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Względna wilgotność powietrza, %</w:t>
            </w:r>
          </w:p>
        </w:tc>
      </w:tr>
      <w:tr w:rsidR="00E847A6" w:rsidRPr="00EF535A" w:rsidTr="007E50B3">
        <w:trPr>
          <w:tblHeader/>
        </w:trPr>
        <w:tc>
          <w:tcPr>
            <w:tcW w:w="1026" w:type="dxa"/>
            <w:tcBorders>
              <w:top w:val="nil"/>
              <w:left w:val="single" w:sz="8" w:space="0" w:color="auto"/>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tc>
        <w:tc>
          <w:tcPr>
            <w:tcW w:w="797" w:type="dxa"/>
            <w:tcBorders>
              <w:top w:val="nil"/>
              <w:left w:val="nil"/>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50%</w:t>
            </w:r>
          </w:p>
        </w:tc>
        <w:tc>
          <w:tcPr>
            <w:tcW w:w="906" w:type="dxa"/>
            <w:tcBorders>
              <w:top w:val="nil"/>
              <w:left w:val="nil"/>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55%</w:t>
            </w:r>
          </w:p>
        </w:tc>
        <w:tc>
          <w:tcPr>
            <w:tcW w:w="906" w:type="dxa"/>
            <w:tcBorders>
              <w:top w:val="nil"/>
              <w:left w:val="nil"/>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60%</w:t>
            </w:r>
          </w:p>
        </w:tc>
        <w:tc>
          <w:tcPr>
            <w:tcW w:w="906" w:type="dxa"/>
            <w:tcBorders>
              <w:top w:val="nil"/>
              <w:left w:val="nil"/>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65%</w:t>
            </w:r>
          </w:p>
        </w:tc>
        <w:tc>
          <w:tcPr>
            <w:tcW w:w="906" w:type="dxa"/>
            <w:tcBorders>
              <w:top w:val="nil"/>
              <w:left w:val="nil"/>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70%</w:t>
            </w:r>
          </w:p>
        </w:tc>
        <w:tc>
          <w:tcPr>
            <w:tcW w:w="906" w:type="dxa"/>
            <w:tcBorders>
              <w:top w:val="nil"/>
              <w:left w:val="nil"/>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75%</w:t>
            </w:r>
          </w:p>
        </w:tc>
        <w:tc>
          <w:tcPr>
            <w:tcW w:w="735" w:type="dxa"/>
            <w:tcBorders>
              <w:top w:val="nil"/>
              <w:left w:val="nil"/>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80%</w:t>
            </w:r>
          </w:p>
        </w:tc>
        <w:tc>
          <w:tcPr>
            <w:tcW w:w="850" w:type="dxa"/>
            <w:tcBorders>
              <w:top w:val="nil"/>
              <w:left w:val="nil"/>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85%</w:t>
            </w:r>
          </w:p>
        </w:tc>
        <w:tc>
          <w:tcPr>
            <w:tcW w:w="851" w:type="dxa"/>
            <w:tcBorders>
              <w:top w:val="nil"/>
              <w:left w:val="nil"/>
              <w:bottom w:val="double" w:sz="4"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90%</w:t>
            </w:r>
          </w:p>
        </w:tc>
      </w:tr>
      <w:tr w:rsidR="00E847A6" w:rsidRPr="00EF535A" w:rsidTr="007E50B3">
        <w:tc>
          <w:tcPr>
            <w:tcW w:w="1026" w:type="dxa"/>
            <w:tcBorders>
              <w:top w:val="nil"/>
              <w:left w:val="single" w:sz="8" w:space="0" w:color="auto"/>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6</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7</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8</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9</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14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15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16</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17</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18</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19</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26</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27</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28</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29</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30</w:t>
            </w:r>
          </w:p>
        </w:tc>
        <w:tc>
          <w:tcPr>
            <w:tcW w:w="797" w:type="dxa"/>
            <w:tcBorders>
              <w:top w:val="nil"/>
              <w:left w:val="nil"/>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5,6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6,5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8,3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9,3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11,1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12,0</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14,8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15,7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18,4</w:t>
            </w:r>
          </w:p>
        </w:tc>
        <w:tc>
          <w:tcPr>
            <w:tcW w:w="906" w:type="dxa"/>
            <w:tcBorders>
              <w:top w:val="nil"/>
              <w:left w:val="nil"/>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5,1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6,1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7,0</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8,8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9,7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11,6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14,4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15,3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19,1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20,0</w:t>
            </w:r>
          </w:p>
        </w:tc>
        <w:tc>
          <w:tcPr>
            <w:tcW w:w="906" w:type="dxa"/>
            <w:tcBorders>
              <w:top w:val="nil"/>
              <w:left w:val="nil"/>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5,4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6,4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8,3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9,2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11,1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12,0</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14,8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15,7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19,5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20,5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21,4</w:t>
            </w:r>
          </w:p>
        </w:tc>
        <w:tc>
          <w:tcPr>
            <w:tcW w:w="906" w:type="dxa"/>
            <w:tcBorders>
              <w:top w:val="nil"/>
              <w:left w:val="nil"/>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5,6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6,6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8,5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9,5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11,4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14,2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15,2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17,0</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19,8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20,8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21,7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22,7</w:t>
            </w:r>
          </w:p>
        </w:tc>
        <w:tc>
          <w:tcPr>
            <w:tcW w:w="906" w:type="dxa"/>
            <w:tcBorders>
              <w:top w:val="nil"/>
              <w:left w:val="nil"/>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0,0</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5,6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6,6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8,6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9,5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11,5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14,4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15,3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19,1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20,1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21,1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22,0</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22,9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23,9</w:t>
            </w:r>
          </w:p>
        </w:tc>
        <w:tc>
          <w:tcPr>
            <w:tcW w:w="906" w:type="dxa"/>
            <w:tcBorders>
              <w:top w:val="nil"/>
              <w:left w:val="nil"/>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0,9</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5,7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6,7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8,6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9,6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11,6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14,5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15,4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19,3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20,3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21,2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22,2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23,2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24,1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25,1</w:t>
            </w:r>
          </w:p>
        </w:tc>
        <w:tc>
          <w:tcPr>
            <w:tcW w:w="735" w:type="dxa"/>
            <w:tcBorders>
              <w:top w:val="nil"/>
              <w:left w:val="nil"/>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2,8</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5,7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6,7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8,6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9,6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11,5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14,5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15,5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19,4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20,3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21,3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22,3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23,2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24,2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25,2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26,2</w:t>
            </w:r>
          </w:p>
        </w:tc>
        <w:tc>
          <w:tcPr>
            <w:tcW w:w="850" w:type="dxa"/>
            <w:tcBorders>
              <w:top w:val="nil"/>
              <w:left w:val="nil"/>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3,7</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5,6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6,6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8,6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9,6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11,5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14,5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15,4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19,4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20,3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21,3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22,3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23,3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24,3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25,2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26,2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27,2</w:t>
            </w:r>
          </w:p>
        </w:tc>
        <w:tc>
          <w:tcPr>
            <w:tcW w:w="851" w:type="dxa"/>
            <w:tcBorders>
              <w:top w:val="nil"/>
              <w:left w:val="nil"/>
              <w:bottom w:val="single" w:sz="8" w:space="0" w:color="auto"/>
              <w:right w:val="single" w:sz="8" w:space="0" w:color="auto"/>
            </w:tcBorders>
            <w:shd w:val="clear" w:color="auto" w:fill="EAEAEA"/>
            <w:noWrap/>
            <w:tcMar>
              <w:top w:w="0" w:type="dxa"/>
              <w:left w:w="129" w:type="dxa"/>
              <w:bottom w:w="0" w:type="dxa"/>
              <w:right w:w="129"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3,6</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4,5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5,5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6,5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7,5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8,4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9,4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10,4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11,4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12,4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13,4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14,4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15,3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16,3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17,3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18,3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19,3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20,3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21,3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22,3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23,2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24,2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25,2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26,2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27,2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US"/>
              </w:rPr>
              <w:t>28,2</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Przykład: W temperaturze 20°C i względnej wilgotności powietrza 60%, punkt rosy odczytany z tablicy 7 wynosi 12°C.</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5.3. Jednorodność nawierzchni znakowanej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Poprawność wykonania oznakowania wymaga jednorodności nawierzchni znakowanej. Oceniona wizualnie nawierzchnia nie powinna zawierać powyżej 15% powierzchni z naprawami cząstkowymi, spękaniami, otwartymi złączami podłużnymi, przełomami, nierównościami. W przypadku większej powierzchni niejednorodnej zaleca się wykonanie automatycznej oceny wizualnej stanu powierzchni zgodnie z dokumentem „Diagnostyka stanu nawierzchni i jej elementów – wytyczne stosowania” (DSN) [22. Jeśli nawierzchnię odcinka drogi, na którym będzie wykonywane oznakowanie poziome, oceniono w klasie C, należy w ST określić dodatkowe wymagania wobec stosowanego materiału do oznakowania nawierzchni i wymagania wobec Wykonawcy. Jeśli w klasie D – należy skrócić lub zrezygnować z gwarancji.</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5.4. Przygotowanie podłoża do wykonania 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Przed wykonaniem oznakowania poziomego należy oczyścić powierzchnię nawierzchni malowanej z pyłu, kurzu, piasku, smarów, olejów i innych zanieczyszczeń, przy użyciu sprzętu wymienionego w ST i zaakceptowanego przez Inżyniera.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Powierzchnia nawierzchni przygotowana do wykonania oznakowania poziomego musi być czysta i sucha. Nie wolno prowadzić prac na nawierzchni mokrej czy w czasie deszczu. W przypadku wykonywania oznakowania na nawierzchni z betonu cementowego nawierzchnię należy przed znakowaniem powierzchniowo sfrezować i zagruntować.</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5.5. Oznakowanie pomocnicze - </w:t>
      </w:r>
      <w:r w:rsidRPr="007078D3">
        <w:rPr>
          <w:rStyle w:val="spelle"/>
          <w:rFonts w:ascii="Times New Roman" w:eastAsiaTheme="majorEastAsia" w:hAnsi="Times New Roman"/>
          <w:color w:val="000000"/>
          <w:szCs w:val="20"/>
        </w:rPr>
        <w:t>przedznakowanie</w:t>
      </w:r>
      <w:r w:rsidRPr="007078D3">
        <w:rPr>
          <w:rFonts w:ascii="Times New Roman" w:hAnsi="Times New Roman"/>
          <w:color w:val="000000"/>
          <w:szCs w:val="20"/>
        </w:rPr>
        <w:t> (trasowanie)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celu dokładnego wykonania poziomego oznakowania drogi, wyeliminowania odchyleń i błędów w istniejącym lub nowym oznakowaniu, można wykonać </w:t>
      </w:r>
      <w:r w:rsidRPr="007078D3">
        <w:rPr>
          <w:rStyle w:val="spelle"/>
          <w:rFonts w:ascii="Times New Roman" w:hAnsi="Times New Roman" w:cs="Times New Roman"/>
          <w:color w:val="000000"/>
          <w:szCs w:val="20"/>
        </w:rPr>
        <w:t>przedznakowanie</w:t>
      </w:r>
      <w:r w:rsidRPr="007078D3">
        <w:rPr>
          <w:rFonts w:ascii="Times New Roman" w:hAnsi="Times New Roman" w:cs="Times New Roman"/>
          <w:color w:val="000000"/>
          <w:szCs w:val="20"/>
        </w:rPr>
        <w:t>, stosując się do ustaleń zawartych w dokumentacji projektowej, w załączniku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2 do rozporządzenia Ministra Infrastruktury [11], ST i wskazaniach Inżyniera.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Do wykonania </w:t>
      </w:r>
      <w:r w:rsidRPr="007078D3">
        <w:rPr>
          <w:rStyle w:val="spelle"/>
          <w:rFonts w:ascii="Times New Roman" w:hAnsi="Times New Roman" w:cs="Times New Roman"/>
          <w:color w:val="000000"/>
          <w:szCs w:val="20"/>
        </w:rPr>
        <w:t>przedznakowania</w:t>
      </w:r>
      <w:r w:rsidRPr="007078D3">
        <w:rPr>
          <w:rFonts w:ascii="Times New Roman" w:hAnsi="Times New Roman" w:cs="Times New Roman"/>
          <w:color w:val="000000"/>
          <w:szCs w:val="20"/>
        </w:rPr>
        <w:t> można stosować nietrwałą farbę, np. farbę silnie rozcieńczoną rozpuszczalnikiem. Zaleca się wykonywanie </w:t>
      </w:r>
      <w:r w:rsidRPr="007078D3">
        <w:rPr>
          <w:rStyle w:val="spelle"/>
          <w:rFonts w:ascii="Times New Roman" w:hAnsi="Times New Roman" w:cs="Times New Roman"/>
          <w:color w:val="000000"/>
          <w:szCs w:val="20"/>
        </w:rPr>
        <w:t>przedznakowania</w:t>
      </w:r>
      <w:r w:rsidRPr="007078D3">
        <w:rPr>
          <w:rFonts w:ascii="Times New Roman" w:hAnsi="Times New Roman" w:cs="Times New Roman"/>
          <w:color w:val="000000"/>
          <w:szCs w:val="20"/>
        </w:rPr>
        <w:t> w postaci cienkich linii lub kropek. Początek i koniec znakowania należy zaznaczyć małą kreską poprzeczną. Do trasowania strzałek, symboli, napisów praktyczne jest zastosowanie kredy.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odnawiania oznakowania drogi, gdy stare oznakowanie jest wystarczająco czytelne i zgodne z dokumentacją projektową, można </w:t>
      </w:r>
      <w:r w:rsidRPr="007078D3">
        <w:rPr>
          <w:rStyle w:val="spelle"/>
          <w:rFonts w:ascii="Times New Roman" w:hAnsi="Times New Roman" w:cs="Times New Roman"/>
          <w:color w:val="000000"/>
          <w:szCs w:val="20"/>
        </w:rPr>
        <w:t>przedznakowania</w:t>
      </w:r>
      <w:r w:rsidRPr="007078D3">
        <w:rPr>
          <w:rFonts w:ascii="Times New Roman" w:hAnsi="Times New Roman" w:cs="Times New Roman"/>
          <w:color w:val="000000"/>
          <w:szCs w:val="20"/>
        </w:rPr>
        <w:t> nie wykonywać.</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Wykonane </w:t>
      </w:r>
      <w:r w:rsidRPr="007078D3">
        <w:rPr>
          <w:rStyle w:val="spelle"/>
          <w:rFonts w:ascii="Times New Roman" w:hAnsi="Times New Roman" w:cs="Times New Roman"/>
          <w:color w:val="000000"/>
          <w:szCs w:val="20"/>
        </w:rPr>
        <w:t>przedznakowanie</w:t>
      </w:r>
      <w:r w:rsidRPr="007078D3">
        <w:rPr>
          <w:rFonts w:ascii="Times New Roman" w:hAnsi="Times New Roman" w:cs="Times New Roman"/>
          <w:color w:val="000000"/>
          <w:szCs w:val="20"/>
        </w:rPr>
        <w:t> należy sprawdzić po wykonaniu pod względem zgodności z projektem, prostoliniowości linii i płynności na łukach.</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5.6. Wykonanie oznakowania nawierzchni drogi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5.6.1. </w:t>
      </w:r>
      <w:r w:rsidRPr="007078D3">
        <w:rPr>
          <w:rFonts w:ascii="Times New Roman" w:hAnsi="Times New Roman" w:cs="Times New Roman"/>
          <w:color w:val="000000"/>
          <w:szCs w:val="20"/>
        </w:rPr>
        <w:t>Wykonanie oznakowania drogi materiałami cienkowarstwowymi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Wykonanie znakowania powinno być zgodne z zaleceniami producenta materiałów, a w przypadku ich braku lub niepełnych </w:t>
      </w:r>
      <w:r w:rsidRPr="007078D3">
        <w:rPr>
          <w:rStyle w:val="spelle"/>
          <w:rFonts w:ascii="Times New Roman" w:hAnsi="Times New Roman" w:cs="Times New Roman"/>
          <w:color w:val="000000"/>
          <w:szCs w:val="20"/>
        </w:rPr>
        <w:t>danych</w:t>
      </w:r>
      <w:r w:rsidRPr="007078D3">
        <w:rPr>
          <w:rFonts w:ascii="Times New Roman" w:hAnsi="Times New Roman" w:cs="Times New Roman"/>
          <w:color w:val="000000"/>
          <w:szCs w:val="20"/>
        </w:rPr>
        <w:t> - zgodne z poniższymi wskazaniami.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Farbę do znakowania cienkowarstwowego po otwarciu opakowania należy ujednorodnić w całej objętości. Przed lub w czasie napełniania zbiornika </w:t>
      </w:r>
      <w:r w:rsidRPr="007078D3">
        <w:rPr>
          <w:rStyle w:val="spelle"/>
          <w:rFonts w:ascii="Times New Roman" w:hAnsi="Times New Roman" w:cs="Times New Roman"/>
          <w:color w:val="000000"/>
          <w:szCs w:val="20"/>
        </w:rPr>
        <w:t>malowarki</w:t>
      </w:r>
      <w:r w:rsidRPr="007078D3">
        <w:rPr>
          <w:rFonts w:ascii="Times New Roman" w:hAnsi="Times New Roman" w:cs="Times New Roman"/>
          <w:color w:val="000000"/>
          <w:szCs w:val="20"/>
        </w:rPr>
        <w:t> zaleca się przecedzić farbę przez sito 0,6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 Nie wolno stosować do malowania mechanicznego farby, w której osad na dnie opakowania nie daje się całkowicie wymieszać lub na jej powierzchni znajduje się kożuch.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Farbę należy nakładać równomierną warstwą o grubości ustalonej w ST, zachowując wymiary i ostrość krawędzi. Grubość nanoszonej warstwy zaleca się kontrolować przy pomocy grzebienia pomiarowego na płytce szklanej lub metalowej podkładanej na drodze </w:t>
      </w:r>
      <w:r w:rsidRPr="007078D3">
        <w:rPr>
          <w:rStyle w:val="spelle"/>
          <w:rFonts w:ascii="Times New Roman" w:hAnsi="Times New Roman" w:cs="Times New Roman"/>
          <w:color w:val="000000"/>
          <w:szCs w:val="20"/>
        </w:rPr>
        <w:t>malowarki</w:t>
      </w:r>
      <w:r w:rsidRPr="007078D3">
        <w:rPr>
          <w:rFonts w:ascii="Times New Roman" w:hAnsi="Times New Roman" w:cs="Times New Roman"/>
          <w:color w:val="000000"/>
          <w:szCs w:val="20"/>
        </w:rPr>
        <w:t>. Ilość farby zużyta w czasie prac, określona przez średnie zużycie na metr kwadratowy nie może się różnić od ilości ustalonej, więcej niż o 20%. Temperatura powietrza powinna być w zakresie od 5°C do 40°C, a temperatura nawierzchni w zakresie od 5°C do 50°C przy wilgotności względnej powietrza poniżej 80% [23].</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Wszystkie większe prace powinny być wykonane przy użyciu samojezdnych </w:t>
      </w:r>
      <w:r w:rsidRPr="007078D3">
        <w:rPr>
          <w:rStyle w:val="spelle"/>
          <w:rFonts w:ascii="Times New Roman" w:hAnsi="Times New Roman" w:cs="Times New Roman"/>
          <w:color w:val="000000"/>
          <w:szCs w:val="20"/>
        </w:rPr>
        <w:t>malowarek</w:t>
      </w:r>
      <w:r w:rsidRPr="007078D3">
        <w:rPr>
          <w:rFonts w:ascii="Times New Roman" w:hAnsi="Times New Roman" w:cs="Times New Roman"/>
          <w:color w:val="000000"/>
          <w:szCs w:val="20"/>
        </w:rPr>
        <w:t> z automatycznym podziałem linii i posypywaniem kulkami szklanymi pod ciśnieniem z ew. materiałem </w:t>
      </w:r>
      <w:r w:rsidRPr="007078D3">
        <w:rPr>
          <w:rStyle w:val="spelle"/>
          <w:rFonts w:ascii="Times New Roman" w:hAnsi="Times New Roman" w:cs="Times New Roman"/>
          <w:color w:val="000000"/>
          <w:szCs w:val="20"/>
        </w:rPr>
        <w:t>uszorstniającym</w:t>
      </w:r>
      <w:r w:rsidRPr="007078D3">
        <w:rPr>
          <w:rFonts w:ascii="Times New Roman" w:hAnsi="Times New Roman" w:cs="Times New Roman"/>
          <w:color w:val="000000"/>
          <w:szCs w:val="20"/>
        </w:rPr>
        <w:t>. W przypadku mniejszych prac, wielkość, wydajność i jakość sprzętu należy dostosować do zakresu i rozmiaru prac. Inżynier na wniosek Wykonawcy  zatwierdza decyzję dotyczącą rodzaju sprzętu i sposobu wykonania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5.6.2. </w:t>
      </w:r>
      <w:r w:rsidRPr="007078D3">
        <w:rPr>
          <w:rFonts w:ascii="Times New Roman" w:hAnsi="Times New Roman" w:cs="Times New Roman"/>
          <w:color w:val="000000"/>
          <w:szCs w:val="20"/>
        </w:rPr>
        <w:t>Wykonanie oznakowania drogi materiałami średnio i grubowarstwowymi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Wykonanie oznakowania powinno być zgodne z zaleceniami producenta materiałów, a w przypadku ich braku lub niepełnych </w:t>
      </w:r>
      <w:r w:rsidRPr="007078D3">
        <w:rPr>
          <w:rStyle w:val="spelle"/>
          <w:rFonts w:ascii="Times New Roman" w:hAnsi="Times New Roman" w:cs="Times New Roman"/>
          <w:color w:val="000000"/>
          <w:szCs w:val="20"/>
        </w:rPr>
        <w:t>danych</w:t>
      </w:r>
      <w:r w:rsidRPr="007078D3">
        <w:rPr>
          <w:rFonts w:ascii="Times New Roman" w:hAnsi="Times New Roman" w:cs="Times New Roman"/>
          <w:color w:val="000000"/>
          <w:szCs w:val="20"/>
        </w:rPr>
        <w:t> - zgodne z poniższymi wskazaniami. Materiały grubowarstwowe zaleca się stosować na nawierzchniach nowych lub odnowionych z warstwą ścieralną SMA.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Materiał znakujący należy nakładać równomierną warstwą o grubości (lub w ilości) ustalonej w ST, zachowując wymiary i ostrość krawędzi. Grubość nanoszonej warstwy zaleca się kontrolować przy pomocy grzebienia pomiarowego na płytce metalowej, podkładanej na drodze </w:t>
      </w:r>
      <w:r w:rsidRPr="007078D3">
        <w:rPr>
          <w:rStyle w:val="spelle"/>
          <w:rFonts w:ascii="Times New Roman" w:hAnsi="Times New Roman" w:cs="Times New Roman"/>
          <w:color w:val="000000"/>
          <w:szCs w:val="20"/>
        </w:rPr>
        <w:t>malowarki</w:t>
      </w:r>
      <w:r w:rsidRPr="007078D3">
        <w:rPr>
          <w:rFonts w:ascii="Times New Roman" w:hAnsi="Times New Roman" w:cs="Times New Roman"/>
          <w:color w:val="000000"/>
          <w:szCs w:val="20"/>
        </w:rPr>
        <w:t>. Ilość materiału zużyta w czasie prac, określona przez średnie zużycie na metr kwadratowy, nie może się różnić od ilości ustalonej, więcej niż o 20%.</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mas chemoutwardzalnych i termoplastycznych wszystkie większe prace (linie krawędziowe, segregacyjne na długich odcinkach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powinny być wykonywane przy użyciu urządzeń samojezdnych z automatycznym podziałem linii i posypywaniem kulkami szklanymi pod ciśnieniem z ew. materiałem </w:t>
      </w:r>
      <w:r w:rsidRPr="007078D3">
        <w:rPr>
          <w:rStyle w:val="spelle"/>
          <w:rFonts w:ascii="Times New Roman" w:hAnsi="Times New Roman" w:cs="Times New Roman"/>
          <w:color w:val="000000"/>
          <w:szCs w:val="20"/>
        </w:rPr>
        <w:t>uszorstniającym</w:t>
      </w:r>
      <w:r w:rsidRPr="007078D3">
        <w:rPr>
          <w:rFonts w:ascii="Times New Roman" w:hAnsi="Times New Roman" w:cs="Times New Roman"/>
          <w:color w:val="000000"/>
          <w:szCs w:val="20"/>
        </w:rPr>
        <w:t>. W przypadku mniejszych prac, wielkość, wydajność i jakość sprzętu należy dostosować do ich zakresu i rozmiaru. Inżynier na wniosek Wykonawcy zatwierdza decyzję dotyczącą rodzaju sprzętu i sposobu wykonania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znakowania nawierzchni betonowej należy przed aplikacją usunąć warstwę powierzchniową betonu metodą frezowania, śrutowania lub </w:t>
      </w:r>
      <w:r w:rsidRPr="007078D3">
        <w:rPr>
          <w:rStyle w:val="spelle"/>
          <w:rFonts w:ascii="Times New Roman" w:hAnsi="Times New Roman" w:cs="Times New Roman"/>
          <w:color w:val="000000"/>
          <w:szCs w:val="20"/>
        </w:rPr>
        <w:t>waterblasting</w:t>
      </w:r>
      <w:r w:rsidRPr="007078D3">
        <w:rPr>
          <w:rFonts w:ascii="Times New Roman" w:hAnsi="Times New Roman" w:cs="Times New Roman"/>
          <w:color w:val="000000"/>
          <w:szCs w:val="20"/>
        </w:rPr>
        <w:t>, aby zlikwidować pozostałości mleczka cementowego i </w:t>
      </w:r>
      <w:r w:rsidRPr="007078D3">
        <w:rPr>
          <w:rStyle w:val="spelle"/>
          <w:rFonts w:ascii="Times New Roman" w:hAnsi="Times New Roman" w:cs="Times New Roman"/>
          <w:color w:val="000000"/>
          <w:szCs w:val="20"/>
        </w:rPr>
        <w:t>uszorstnić</w:t>
      </w:r>
      <w:r w:rsidRPr="007078D3">
        <w:rPr>
          <w:rFonts w:ascii="Times New Roman" w:hAnsi="Times New Roman" w:cs="Times New Roman"/>
          <w:color w:val="000000"/>
          <w:szCs w:val="20"/>
        </w:rPr>
        <w:t> powierzchnię. Po usunięciu warstwy powierzchniowej betonu, należy powierzchnię znakowaną umyć wodą pod ciśnieniem oraz zagruntować środkiem wskazanym przez producenta masy (podkład, grunt, </w:t>
      </w:r>
      <w:r w:rsidRPr="007078D3">
        <w:rPr>
          <w:rStyle w:val="spelle"/>
          <w:rFonts w:ascii="Times New Roman" w:hAnsi="Times New Roman" w:cs="Times New Roman"/>
          <w:color w:val="000000"/>
          <w:szCs w:val="20"/>
        </w:rPr>
        <w:t>primer</w:t>
      </w:r>
      <w:r w:rsidRPr="007078D3">
        <w:rPr>
          <w:rFonts w:ascii="Times New Roman" w:hAnsi="Times New Roman" w:cs="Times New Roman"/>
          <w:color w:val="000000"/>
          <w:szCs w:val="20"/>
        </w:rPr>
        <w:t>) w ilości przez niego podanej.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5.6.3. </w:t>
      </w:r>
      <w:r w:rsidRPr="007078D3">
        <w:rPr>
          <w:rFonts w:ascii="Times New Roman" w:hAnsi="Times New Roman" w:cs="Times New Roman"/>
          <w:color w:val="000000"/>
          <w:szCs w:val="20"/>
        </w:rPr>
        <w:t>Wykonanie oznakowania drogi punktowymi elementami odblaskowymi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Wykonanie oznakowania powinno być zgodne z zaleceniami producenta materiałów, a w przypadku ich braku lub niepełnych </w:t>
      </w:r>
      <w:r w:rsidRPr="007078D3">
        <w:rPr>
          <w:rStyle w:val="spelle"/>
          <w:rFonts w:ascii="Times New Roman" w:hAnsi="Times New Roman" w:cs="Times New Roman"/>
          <w:color w:val="000000"/>
          <w:szCs w:val="20"/>
        </w:rPr>
        <w:t>danych</w:t>
      </w:r>
      <w:r w:rsidRPr="007078D3">
        <w:rPr>
          <w:rFonts w:ascii="Times New Roman" w:hAnsi="Times New Roman" w:cs="Times New Roman"/>
          <w:color w:val="000000"/>
          <w:szCs w:val="20"/>
        </w:rPr>
        <w:t> - zgodne z poniższymi wskazaniami.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Wykonując oznakowanie punktowymi elementami odblaskowymi należy zwracać szczególną uwagę na staranne mocowanie elementów do podłoża, od czego zależy trwałość wykonanego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Nie wolno zmieniać ustalonego przez producenta rodzaju kleju z uwagi na możliwość uzyskania różnej jego przyczepności do nawierzchni i do materiałów, z których wykonano punktowe elementy odblaskowe.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znakowania nawierzchni betonowych należy zastosować podkład (</w:t>
      </w:r>
      <w:r w:rsidRPr="007078D3">
        <w:rPr>
          <w:rStyle w:val="spelle"/>
          <w:rFonts w:ascii="Times New Roman" w:hAnsi="Times New Roman" w:cs="Times New Roman"/>
          <w:color w:val="000000"/>
          <w:szCs w:val="20"/>
        </w:rPr>
        <w:t>primer</w:t>
      </w:r>
      <w:r w:rsidRPr="007078D3">
        <w:rPr>
          <w:rFonts w:ascii="Times New Roman" w:hAnsi="Times New Roman" w:cs="Times New Roman"/>
          <w:color w:val="000000"/>
          <w:szCs w:val="20"/>
        </w:rPr>
        <w:t>) poprawiający przyczepność przyklejanych punktowych elementów odblaskowych do nawierzchni.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5.6.4.</w:t>
      </w:r>
      <w:r w:rsidRPr="007078D3">
        <w:rPr>
          <w:rFonts w:ascii="Times New Roman" w:hAnsi="Times New Roman" w:cs="Times New Roman"/>
          <w:color w:val="000000"/>
          <w:szCs w:val="20"/>
        </w:rPr>
        <w:t> Wykonanie oznakowania tymczasowego</w:t>
      </w:r>
    </w:p>
    <w:p w:rsidR="00E847A6" w:rsidRPr="007078D3" w:rsidRDefault="00E847A6" w:rsidP="00E847A6">
      <w:pPr>
        <w:pStyle w:val="Tekstpodstawowywcity"/>
        <w:spacing w:before="0" w:beforeAutospacing="0" w:after="0" w:afterAutospacing="0"/>
        <w:ind w:firstLine="709"/>
        <w:jc w:val="both"/>
        <w:rPr>
          <w:b/>
          <w:bCs/>
          <w:color w:val="000000"/>
          <w:sz w:val="20"/>
          <w:szCs w:val="20"/>
        </w:rPr>
      </w:pPr>
      <w:r w:rsidRPr="007078D3">
        <w:rPr>
          <w:color w:val="000000"/>
          <w:sz w:val="20"/>
          <w:szCs w:val="20"/>
        </w:rPr>
        <w:t>Do wykonywania oznakowania tymczasowego barwy żółtej należy stosować materiały łatwe do usunięcia po zakończeniu okresu tymczasowości. Linie wyznaczające pasy ruchu zaleca się uzupełnić punktowymi elementami odblaskowymi z odbłyśnikami także barwy żółtej.</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Czasowe oznakowanie poziome powinno być wykonane z materiałów odblaskowych. Do jego wykonania należy stosować: farby, taśmy samoprzylepne lub punktowe elementy odblaskowe. Stosowanie farb dopuszcza się wyłącznie w takich przypadkach, gdy w wyniku przewidywanych robót nawierzchniowych oznakowanie to po ich zakończeniu będzie całkowicie niewidoczne, np. zostanie przykryte nową warstwą ścieralną nawierzchni.</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5.7. Usuwanie oznakowania poziomego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konieczności usunięcia istniejącego oznakowania poziomego, czynność tę należy wykonać tak, aby w jak najmniejszym stopniu uszkodzić nawierzchnię.</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Zaleca się wykonywać usuwanie oznakowania:</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lastRenderedPageBreak/>
        <w:t>-      cienkowarstwowego, metodą: frezowania mechanicznego lub wodą pod wysokim ciśnieniem (</w:t>
      </w:r>
      <w:r w:rsidRPr="007078D3">
        <w:rPr>
          <w:rStyle w:val="spelle"/>
          <w:rFonts w:ascii="Times New Roman" w:hAnsi="Times New Roman" w:cs="Times New Roman"/>
          <w:color w:val="000000"/>
          <w:szCs w:val="20"/>
        </w:rPr>
        <w:t>waterblasting</w:t>
      </w:r>
      <w:r w:rsidRPr="007078D3">
        <w:rPr>
          <w:rFonts w:ascii="Times New Roman" w:hAnsi="Times New Roman" w:cs="Times New Roman"/>
          <w:color w:val="000000"/>
          <w:szCs w:val="20"/>
        </w:rPr>
        <w:t>), piaskowania, śrutowania, trawienia, wypalania, zamalowania lub zaklejenia czarną taśmą.</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grubowarstwowego, metodą usuwania wodą pod wysokim ciśnieniem lub frezowania mechanicznego,</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wykonanego punktowymi elementami odblaskowymi, prostymi narzędziami mechanicznymi.</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usuwanie oznakowania na czas robót drogowych może być wykonane przez zamalowanie nietrwałą farbą barwy czarnej.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Środki zastosowane do usunięcia oznakowania nie mogą wpływać ujemnie na przyczepność nowego oznakowania do podłoża, na jego szorstkość, trwałość oraz na właściwości podłoża.       Materiały pozostałe po usunięciu oznakowania należy usunąć z drogi tak, aby nie zanieczyszczały środowiska, w miejsce zaakceptowane przez Inżyniera.</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5.8. Odnowa oznakowania poziomego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Odnawianie oznakowania poziomego, wykonywanego w przypadku utraty wymagań jednej z właściwości, należy wykonać materiałem o sprawdzonej dobrej przyczepności do starej warstwy.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Jako zasadę można przyjąć, że oznakowanie wykonane farbami akrylowymi, należy odnawiać także farbami akrylowymi, oznakowania grubowarstwowe wykonane masami termoplastycznymi – natryskiwaną cienką warstwą masą termoplastycznej lub farbą wodorozcieńczalną zalecaną przez producenta masy, oznakowania wykonane masami chemoutwardzalnymi – farbami chemoutwardzalnymi, natryskiwanymi masami chemoutwardzalnymi (</w:t>
      </w:r>
      <w:r w:rsidRPr="007078D3">
        <w:rPr>
          <w:rStyle w:val="spelle"/>
          <w:rFonts w:ascii="Times New Roman" w:hAnsi="Times New Roman" w:cs="Times New Roman"/>
          <w:color w:val="000000"/>
          <w:szCs w:val="20"/>
        </w:rPr>
        <w:t>sprayplast</w:t>
      </w:r>
      <w:r w:rsidRPr="007078D3">
        <w:rPr>
          <w:rFonts w:ascii="Times New Roman" w:hAnsi="Times New Roman" w:cs="Times New Roman"/>
          <w:color w:val="000000"/>
          <w:szCs w:val="20"/>
        </w:rPr>
        <w:t>) lub odpowiednimi akrylowymi farbami rozpuszczalnikowymi.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Ilość stosowanego do odnowienia materiału, należy dobrać w zależności od rodzaju i stanu oznakowania odnawianego, kierując się wskazówkami producenta materiału i zaleceniami Inżyniera.</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08" w:name="_Toc505849079"/>
      <w:r w:rsidRPr="007078D3">
        <w:rPr>
          <w:rFonts w:ascii="Times New Roman" w:hAnsi="Times New Roman"/>
          <w:caps/>
          <w:color w:val="000000"/>
          <w:szCs w:val="20"/>
        </w:rPr>
        <w:t>6. KONTROLA JAKOŚCI ROBÓT</w:t>
      </w:r>
      <w:bookmarkEnd w:id="1308"/>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6.1. Ogólne zasady kontroli jakości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kontroli jakości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6.</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6.2. Badania przed przystąpieniem do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Przed przystąpieniem do robót Wykonawca powinien:</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uzyskać wymagane dokumenty, dopuszczające wyroby budowlane do obrotu i powszechnego stosowania (np. stwierdzenie o oznakowaniu materiału znakiem CE lub znakiem budowlanym, deklarację właściwości użytkowych, krajową deklarację właściwości użytkowych, ocenę techniczną, aprobatę techniczną, ew. badania materiałów wykonane przez dostawców itp.),</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ew. wykonać własne badania właściwości materiałów przeznaczonych do wykonania robót, określone przez Inżyniera.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Wszystkie dokumenty oraz wyniki badań Wykonawca przedstawia Inżynierowi do akceptacji pod względem spełnienia wymogów formalnych oraz technicznych wynikających z dokumentacji projektowej i ST.</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6.3. Badanie przygotowania podłoża i </w:t>
      </w:r>
      <w:r w:rsidRPr="007078D3">
        <w:rPr>
          <w:rStyle w:val="spelle"/>
          <w:rFonts w:ascii="Times New Roman" w:eastAsiaTheme="majorEastAsia" w:hAnsi="Times New Roman"/>
          <w:color w:val="000000"/>
          <w:szCs w:val="20"/>
        </w:rPr>
        <w:t>przedznakowania</w:t>
      </w:r>
      <w:r w:rsidRPr="007078D3">
        <w:rPr>
          <w:rFonts w:ascii="Times New Roman" w:hAnsi="Times New Roman"/>
          <w:color w:val="000000"/>
          <w:szCs w:val="20"/>
        </w:rPr>
        <w:t> (trasowania)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Powierzchnia jezdni przed wykonaniem oznakowania poziomego musi być całkowicie czysta i sucha.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Przedznakowanie</w:t>
      </w:r>
      <w:r w:rsidRPr="007078D3">
        <w:rPr>
          <w:rFonts w:ascii="Times New Roman" w:hAnsi="Times New Roman" w:cs="Times New Roman"/>
          <w:color w:val="000000"/>
          <w:szCs w:val="20"/>
        </w:rPr>
        <w:t> powinno być wykonane zgodnie z wymaganiami punktu 5.5.</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6.4. Badania wykonania oznakowania poziomego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6.4.1. </w:t>
      </w:r>
      <w:r w:rsidRPr="007078D3">
        <w:rPr>
          <w:rFonts w:ascii="Times New Roman" w:hAnsi="Times New Roman" w:cs="Times New Roman"/>
          <w:color w:val="000000"/>
          <w:szCs w:val="20"/>
        </w:rPr>
        <w:t>Wymagania wobec oznakowania poziomego</w:t>
      </w:r>
    </w:p>
    <w:p w:rsidR="00E847A6" w:rsidRPr="007078D3" w:rsidRDefault="00E847A6" w:rsidP="00E847A6">
      <w:pPr>
        <w:pStyle w:val="Stopka"/>
        <w:rPr>
          <w:rFonts w:ascii="Times New Roman" w:hAnsi="Times New Roman" w:cs="Times New Roman"/>
          <w:color w:val="000000"/>
          <w:szCs w:val="20"/>
        </w:rPr>
      </w:pPr>
      <w:r w:rsidRPr="007078D3">
        <w:rPr>
          <w:rFonts w:ascii="Times New Roman" w:hAnsi="Times New Roman" w:cs="Times New Roman"/>
          <w:color w:val="000000"/>
          <w:szCs w:val="20"/>
        </w:rPr>
        <w:t>6.4.1.1. Zasady</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pacing w:val="-3"/>
          <w:szCs w:val="20"/>
        </w:rPr>
        <w:t>Wymagania sprecyzowano przede wszystkim w celu określenia właściwości oznakowania </w:t>
      </w:r>
      <w:r w:rsidRPr="007078D3">
        <w:rPr>
          <w:rStyle w:val="spelle"/>
          <w:rFonts w:ascii="Times New Roman" w:hAnsi="Times New Roman" w:cs="Times New Roman"/>
          <w:color w:val="000000"/>
          <w:spacing w:val="-3"/>
          <w:szCs w:val="20"/>
        </w:rPr>
        <w:t>dróg</w:t>
      </w:r>
      <w:r w:rsidRPr="007078D3">
        <w:rPr>
          <w:rFonts w:ascii="Times New Roman" w:hAnsi="Times New Roman" w:cs="Times New Roman"/>
          <w:color w:val="000000"/>
          <w:spacing w:val="-3"/>
          <w:szCs w:val="20"/>
        </w:rPr>
        <w:t> w czasie ich użytkowania. Wymagania określa się kilkoma parametrami reprezentującymi różne aspekty właściwości oznakowania </w:t>
      </w:r>
      <w:r w:rsidRPr="007078D3">
        <w:rPr>
          <w:rStyle w:val="spelle"/>
          <w:rFonts w:ascii="Times New Roman" w:hAnsi="Times New Roman" w:cs="Times New Roman"/>
          <w:color w:val="000000"/>
          <w:spacing w:val="-3"/>
          <w:szCs w:val="20"/>
        </w:rPr>
        <w:t>dróg</w:t>
      </w:r>
      <w:r w:rsidRPr="007078D3">
        <w:rPr>
          <w:rFonts w:ascii="Times New Roman" w:hAnsi="Times New Roman" w:cs="Times New Roman"/>
          <w:color w:val="000000"/>
          <w:spacing w:val="-3"/>
          <w:szCs w:val="20"/>
        </w:rPr>
        <w:t> według PN-EN 1436 [1].</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pacing w:val="-3"/>
          <w:szCs w:val="20"/>
        </w:rPr>
        <w:t>Wzięto pod uwagę następujące parametry:</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pacing w:val="-3"/>
          <w:szCs w:val="20"/>
        </w:rPr>
        <w:t>-          widoczność w dzień określaną alternatywnie przez współczynnik luminancji β lub współczynnik luminancji w świetle rozproszonym </w:t>
      </w:r>
      <w:r w:rsidRPr="007078D3">
        <w:rPr>
          <w:rStyle w:val="spelle"/>
          <w:rFonts w:ascii="Times New Roman" w:hAnsi="Times New Roman" w:cs="Times New Roman"/>
          <w:color w:val="000000"/>
          <w:spacing w:val="-3"/>
          <w:szCs w:val="20"/>
        </w:rPr>
        <w:t>Qd</w:t>
      </w:r>
      <w:r w:rsidRPr="007078D3">
        <w:rPr>
          <w:rFonts w:ascii="Times New Roman" w:hAnsi="Times New Roman" w:cs="Times New Roman"/>
          <w:color w:val="000000"/>
          <w:spacing w:val="-3"/>
          <w:szCs w:val="20"/>
        </w:rPr>
        <w:t> oraz dodatkowo przez współrzędne chromatyczności,</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pacing w:val="-3"/>
          <w:szCs w:val="20"/>
        </w:rPr>
        <w:t>-          widoczność w nocy określana przez współczynnik odblasku R</w:t>
      </w:r>
      <w:r w:rsidRPr="007078D3">
        <w:rPr>
          <w:rFonts w:ascii="Times New Roman" w:hAnsi="Times New Roman" w:cs="Times New Roman"/>
          <w:color w:val="000000"/>
          <w:spacing w:val="-3"/>
          <w:szCs w:val="20"/>
          <w:vertAlign w:val="subscript"/>
        </w:rPr>
        <w:t>L</w:t>
      </w:r>
      <w:r w:rsidRPr="007078D3">
        <w:rPr>
          <w:rFonts w:ascii="Times New Roman" w:hAnsi="Times New Roman" w:cs="Times New Roman"/>
          <w:color w:val="000000"/>
          <w:spacing w:val="-3"/>
          <w:szCs w:val="20"/>
        </w:rPr>
        <w:t>,</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pacing w:val="-3"/>
          <w:szCs w:val="20"/>
        </w:rPr>
        <w:t>-          szorstkość (własności antypoślizgowe) określaną przez wskaźnik szorstkości SRT.</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pacing w:val="-3"/>
          <w:szCs w:val="20"/>
        </w:rPr>
        <w:t>-          trwałość określaną w badaniach na odcinku drogowym.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pacing w:val="-3"/>
          <w:szCs w:val="20"/>
        </w:rPr>
        <w:t>            Parametry te zostały podzielone na kilka klas wymagań, które można przywołać w zależności od potrzeb [1]. W niniejszej specyfikacji drogi podzielono na dwie klasy:</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pacing w:val="-3"/>
          <w:szCs w:val="20"/>
        </w:rPr>
        <w:t>-          </w:t>
      </w:r>
      <w:r w:rsidRPr="007078D3">
        <w:rPr>
          <w:rStyle w:val="spelle"/>
          <w:rFonts w:ascii="Times New Roman" w:hAnsi="Times New Roman" w:cs="Times New Roman"/>
          <w:color w:val="000000"/>
          <w:spacing w:val="-3"/>
          <w:szCs w:val="20"/>
        </w:rPr>
        <w:t>klasa</w:t>
      </w:r>
      <w:r w:rsidRPr="007078D3">
        <w:rPr>
          <w:rFonts w:ascii="Times New Roman" w:hAnsi="Times New Roman" w:cs="Times New Roman"/>
          <w:color w:val="000000"/>
          <w:spacing w:val="-3"/>
          <w:szCs w:val="20"/>
        </w:rPr>
        <w:t> pierwsza obejmuje drogi o prędkości dopuszczalnej </w:t>
      </w:r>
      <w:r w:rsidRPr="007078D3">
        <w:rPr>
          <w:rFonts w:ascii="Times New Roman" w:hAnsi="Times New Roman" w:cs="Times New Roman"/>
          <w:color w:val="000000"/>
          <w:spacing w:val="-3"/>
          <w:szCs w:val="20"/>
          <w:lang w:val="en-GB"/>
        </w:rPr>
        <w:t>³</w:t>
      </w:r>
      <w:r w:rsidRPr="007078D3">
        <w:rPr>
          <w:rFonts w:ascii="Times New Roman" w:hAnsi="Times New Roman" w:cs="Times New Roman"/>
          <w:color w:val="000000"/>
          <w:spacing w:val="-3"/>
          <w:szCs w:val="20"/>
        </w:rPr>
        <w:t> 100 km/h lub o natężeniu ruchu &gt; 2500 pojazdów rzeczywistych/dobę/pas,</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pacing w:val="-3"/>
          <w:szCs w:val="20"/>
        </w:rPr>
        <w:t>-          </w:t>
      </w:r>
      <w:r w:rsidRPr="007078D3">
        <w:rPr>
          <w:rStyle w:val="spelle"/>
          <w:rFonts w:ascii="Times New Roman" w:hAnsi="Times New Roman" w:cs="Times New Roman"/>
          <w:color w:val="000000"/>
          <w:spacing w:val="-3"/>
          <w:szCs w:val="20"/>
        </w:rPr>
        <w:t>klasa</w:t>
      </w:r>
      <w:r w:rsidRPr="007078D3">
        <w:rPr>
          <w:rFonts w:ascii="Times New Roman" w:hAnsi="Times New Roman" w:cs="Times New Roman"/>
          <w:color w:val="000000"/>
          <w:spacing w:val="-3"/>
          <w:szCs w:val="20"/>
        </w:rPr>
        <w:t> druga: o prędkości dopuszczalnej &lt; 100 km/h i o natężeniu ruchu &lt; 2500 pojazdów rzeczywistych/dobę/pas.</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pacing w:val="-3"/>
          <w:szCs w:val="20"/>
        </w:rPr>
        <w:t>Przyjęto następujące minimalne wymagania dla </w:t>
      </w:r>
      <w:r w:rsidRPr="007078D3">
        <w:rPr>
          <w:rStyle w:val="spelle"/>
          <w:rFonts w:ascii="Times New Roman" w:hAnsi="Times New Roman" w:cs="Times New Roman"/>
          <w:color w:val="000000"/>
          <w:spacing w:val="-3"/>
          <w:szCs w:val="20"/>
        </w:rPr>
        <w:t>dróg</w:t>
      </w:r>
      <w:r w:rsidRPr="007078D3">
        <w:rPr>
          <w:rFonts w:ascii="Times New Roman" w:hAnsi="Times New Roman" w:cs="Times New Roman"/>
          <w:color w:val="000000"/>
          <w:spacing w:val="-3"/>
          <w:szCs w:val="20"/>
        </w:rPr>
        <w:t> o prędkości dopuszczalnej </w:t>
      </w:r>
      <w:r w:rsidRPr="007078D3">
        <w:rPr>
          <w:rFonts w:ascii="Times New Roman" w:hAnsi="Times New Roman" w:cs="Times New Roman"/>
          <w:color w:val="000000"/>
          <w:spacing w:val="-3"/>
          <w:szCs w:val="20"/>
          <w:lang w:val="en-GB"/>
        </w:rPr>
        <w:t>³</w:t>
      </w:r>
      <w:r w:rsidRPr="007078D3">
        <w:rPr>
          <w:rFonts w:ascii="Times New Roman" w:hAnsi="Times New Roman" w:cs="Times New Roman"/>
          <w:color w:val="000000"/>
          <w:spacing w:val="-3"/>
          <w:szCs w:val="20"/>
        </w:rPr>
        <w:t> 100 km/h lub o natężeniu &gt; 2500 pojazdów rzeczywistych/dobę/pas: R3, RW3, B2, Q3 i S1. Natomiast dla </w:t>
      </w:r>
      <w:r w:rsidRPr="007078D3">
        <w:rPr>
          <w:rStyle w:val="spelle"/>
          <w:rFonts w:ascii="Times New Roman" w:hAnsi="Times New Roman" w:cs="Times New Roman"/>
          <w:color w:val="000000"/>
          <w:spacing w:val="-3"/>
          <w:szCs w:val="20"/>
        </w:rPr>
        <w:t>dróg</w:t>
      </w:r>
      <w:r w:rsidRPr="007078D3">
        <w:rPr>
          <w:rFonts w:ascii="Times New Roman" w:hAnsi="Times New Roman" w:cs="Times New Roman"/>
          <w:color w:val="000000"/>
          <w:spacing w:val="-3"/>
          <w:szCs w:val="20"/>
        </w:rPr>
        <w:t> pozostałych: R2, RW2, B2, Q2 i S1.</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pacing w:val="-3"/>
          <w:szCs w:val="20"/>
        </w:rPr>
        <w:t>Badania wstępne, dla których określono pierwsze wymaganie, są wykonywane w celu kontroli przed odbiorem. Powinny być wykonane w terminie od 14 do 30 dnia po wykonaniu. Kolejne badania kontrolne należy wykonywać po okresie, od 3 do 6 miesięcy po wykonaniu i przed upływem 1 roku, oraz po 2, 3 i 4 latach dla materiałów o trwałości dłuższej niż 1 rok.</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pacing w:val="-3"/>
          <w:szCs w:val="20"/>
        </w:rPr>
        <w:t>Barwa żółta dotyczy tylko oznakowań tymczasowych, które także powinny być kontrolowane. Inne barwy oznakowań niż biała i żółta należy stosować zgodnie z zaleceniami zawartymi w załączniku </w:t>
      </w:r>
      <w:r w:rsidRPr="007078D3">
        <w:rPr>
          <w:rStyle w:val="spelle"/>
          <w:rFonts w:ascii="Times New Roman" w:hAnsi="Times New Roman" w:cs="Times New Roman"/>
          <w:color w:val="000000"/>
          <w:spacing w:val="-3"/>
          <w:szCs w:val="20"/>
        </w:rPr>
        <w:t>nr</w:t>
      </w:r>
      <w:r w:rsidRPr="007078D3">
        <w:rPr>
          <w:rFonts w:ascii="Times New Roman" w:hAnsi="Times New Roman" w:cs="Times New Roman"/>
          <w:color w:val="000000"/>
          <w:spacing w:val="-3"/>
          <w:szCs w:val="20"/>
        </w:rPr>
        <w:t> 2 do rozporządzenia [11].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6.4.1.2. Widzialność w dzień i barwa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 określenia odbicia światła dziennego lub odbicia oświetlenia drogi od oznakowania (tzw. widzialność w dzień) [4] stosuje się: albo współczynnik luminancji w świetle rozproszonym </w:t>
      </w:r>
      <w:r w:rsidRPr="007078D3">
        <w:rPr>
          <w:rStyle w:val="spelle"/>
          <w:rFonts w:ascii="Times New Roman" w:hAnsi="Times New Roman" w:cs="Times New Roman"/>
          <w:color w:val="000000"/>
          <w:szCs w:val="20"/>
        </w:rPr>
        <w:t>Qd</w:t>
      </w:r>
      <w:r w:rsidRPr="007078D3">
        <w:rPr>
          <w:rFonts w:ascii="Times New Roman" w:hAnsi="Times New Roman" w:cs="Times New Roman"/>
          <w:color w:val="000000"/>
          <w:szCs w:val="20"/>
        </w:rPr>
        <w:t>, który jest wyrażany w mcd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lx</w:t>
      </w:r>
      <w:r w:rsidRPr="007078D3">
        <w:rPr>
          <w:rFonts w:ascii="Times New Roman" w:hAnsi="Times New Roman" w:cs="Times New Roman"/>
          <w:color w:val="000000"/>
          <w:szCs w:val="20"/>
          <w:vertAlign w:val="superscript"/>
        </w:rPr>
        <w:t>-1 </w:t>
      </w:r>
      <w:r w:rsidRPr="007078D3">
        <w:rPr>
          <w:rFonts w:ascii="Times New Roman" w:hAnsi="Times New Roman" w:cs="Times New Roman"/>
          <w:color w:val="000000"/>
          <w:szCs w:val="20"/>
        </w:rPr>
        <w:t>albo współczynnik luminancji ß</w:t>
      </w:r>
      <w:r w:rsidRPr="007078D3">
        <w:rPr>
          <w:rFonts w:ascii="Times New Roman" w:hAnsi="Times New Roman" w:cs="Times New Roman"/>
          <w:i/>
          <w:iCs/>
          <w:color w:val="000000"/>
          <w:szCs w:val="20"/>
        </w:rPr>
        <w:t> </w:t>
      </w:r>
      <w:r w:rsidRPr="007078D3">
        <w:rPr>
          <w:rFonts w:ascii="Times New Roman" w:hAnsi="Times New Roman" w:cs="Times New Roman"/>
          <w:color w:val="000000"/>
          <w:szCs w:val="20"/>
        </w:rPr>
        <w:t>bezwymiarowy. Pomiary ß wykonuje się kolorymetrem przy oświetleniu wzorcowym źródłem światła D65 i geometrii strumienia światła 45</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/0</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.Dopuszczalny rozsył padającej wiązki światła wynosi ±5°, zaś odbitej ±10°. Mierzona powierzchnia oznakowania nie powinna być mniejsza niż 5 cm</w:t>
      </w:r>
      <w:r w:rsidRPr="007078D3">
        <w:rPr>
          <w:rFonts w:ascii="Times New Roman" w:hAnsi="Times New Roman" w:cs="Times New Roman"/>
          <w:color w:val="000000"/>
          <w:szCs w:val="20"/>
          <w:vertAlign w:val="superscript"/>
        </w:rPr>
        <w:t>3</w:t>
      </w:r>
      <w:r w:rsidRPr="007078D3">
        <w:rPr>
          <w:rFonts w:ascii="Times New Roman" w:hAnsi="Times New Roman" w:cs="Times New Roman"/>
          <w:color w:val="000000"/>
          <w:szCs w:val="20"/>
        </w:rPr>
        <w:t xml:space="preserve">. W przypadku bardzo chropowatych powierzchni, należy </w:t>
      </w:r>
      <w:r w:rsidRPr="007078D3">
        <w:rPr>
          <w:rFonts w:ascii="Times New Roman" w:hAnsi="Times New Roman" w:cs="Times New Roman"/>
          <w:color w:val="000000"/>
          <w:szCs w:val="20"/>
        </w:rPr>
        <w:lastRenderedPageBreak/>
        <w:t>zwiększyć pole pomiarowe np. do 25 cm</w:t>
      </w:r>
      <w:r w:rsidRPr="007078D3">
        <w:rPr>
          <w:rFonts w:ascii="Times New Roman" w:hAnsi="Times New Roman" w:cs="Times New Roman"/>
          <w:color w:val="000000"/>
          <w:szCs w:val="20"/>
          <w:vertAlign w:val="superscript"/>
        </w:rPr>
        <w:t>3</w:t>
      </w:r>
      <w:r w:rsidRPr="007078D3">
        <w:rPr>
          <w:rFonts w:ascii="Times New Roman" w:hAnsi="Times New Roman" w:cs="Times New Roman"/>
          <w:color w:val="000000"/>
          <w:szCs w:val="20"/>
        </w:rPr>
        <w:t>, a w przypadku oznakowań profilowanych (tzw. strukturalnych) zmierzona wartość współczynnika luminancji </w:t>
      </w:r>
      <w:r w:rsidRPr="007078D3">
        <w:rPr>
          <w:rFonts w:ascii="Times New Roman" w:hAnsi="Times New Roman" w:cs="Times New Roman"/>
          <w:i/>
          <w:iCs/>
          <w:color w:val="000000"/>
          <w:szCs w:val="20"/>
        </w:rPr>
        <w:t>ß</w:t>
      </w:r>
      <w:r w:rsidRPr="007078D3">
        <w:rPr>
          <w:rFonts w:ascii="Times New Roman" w:hAnsi="Times New Roman" w:cs="Times New Roman"/>
          <w:color w:val="000000"/>
          <w:szCs w:val="20"/>
        </w:rPr>
        <w:t> może być fałszywa. Należy wtedy widzialność oznakowania ocenić za pomocą współczynnika luminancji w świetle rozproszonym </w:t>
      </w:r>
      <w:r w:rsidRPr="007078D3">
        <w:rPr>
          <w:rStyle w:val="spelle"/>
          <w:rFonts w:ascii="Times New Roman" w:hAnsi="Times New Roman" w:cs="Times New Roman"/>
          <w:color w:val="000000"/>
          <w:szCs w:val="20"/>
        </w:rPr>
        <w:t>Qd</w:t>
      </w:r>
      <w:r w:rsidRPr="007078D3">
        <w:rPr>
          <w:rFonts w:ascii="Times New Roman" w:hAnsi="Times New Roman" w:cs="Times New Roman"/>
          <w:color w:val="000000"/>
          <w:szCs w:val="20"/>
        </w:rPr>
        <w:t>, mierzonego reflektometrem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Wybór metody oceny i wymaganej klasy zależy od zarządców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i zostanie określona w ST lub zostanie wskazana przez Inżyniera.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Ze względu na wartość współczynnika luminancji w świetle rozproszonym </w:t>
      </w:r>
      <w:r w:rsidRPr="007078D3">
        <w:rPr>
          <w:rStyle w:val="spelle"/>
          <w:rFonts w:ascii="Times New Roman" w:hAnsi="Times New Roman" w:cs="Times New Roman"/>
          <w:color w:val="000000"/>
          <w:szCs w:val="20"/>
        </w:rPr>
        <w:t>Qd</w:t>
      </w:r>
      <w:r w:rsidRPr="007078D3">
        <w:rPr>
          <w:rFonts w:ascii="Times New Roman" w:hAnsi="Times New Roman" w:cs="Times New Roman"/>
          <w:color w:val="000000"/>
          <w:szCs w:val="20"/>
        </w:rPr>
        <w:t> poziome oznakowania drogowe dzielimy na klasy podane w tablicy 8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8. Klasy poziomych oznakowań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(w stanie suchym) ze względu na </w:t>
      </w:r>
      <w:r w:rsidRPr="007078D3">
        <w:rPr>
          <w:rStyle w:val="spelle"/>
          <w:rFonts w:ascii="Times New Roman" w:hAnsi="Times New Roman" w:cs="Times New Roman"/>
          <w:color w:val="000000"/>
          <w:szCs w:val="20"/>
        </w:rPr>
        <w:t>Qd</w:t>
      </w:r>
    </w:p>
    <w:tbl>
      <w:tblPr>
        <w:tblW w:w="0" w:type="auto"/>
        <w:tblInd w:w="157" w:type="dxa"/>
        <w:shd w:val="clear" w:color="auto" w:fill="EAEAEA"/>
        <w:tblCellMar>
          <w:left w:w="0" w:type="dxa"/>
          <w:right w:w="0" w:type="dxa"/>
        </w:tblCellMar>
        <w:tblLook w:val="04A0"/>
      </w:tblPr>
      <w:tblGrid>
        <w:gridCol w:w="2835"/>
        <w:gridCol w:w="993"/>
        <w:gridCol w:w="4961"/>
      </w:tblGrid>
      <w:tr w:rsidR="00E847A6" w:rsidRPr="00EF535A" w:rsidTr="007E50B3">
        <w:trPr>
          <w:tblHeader/>
        </w:trPr>
        <w:tc>
          <w:tcPr>
            <w:tcW w:w="2835" w:type="dxa"/>
            <w:tcBorders>
              <w:top w:val="single" w:sz="8" w:space="0" w:color="auto"/>
              <w:left w:val="single" w:sz="8" w:space="0" w:color="auto"/>
              <w:bottom w:val="double" w:sz="4" w:space="0" w:color="auto"/>
              <w:right w:val="nil"/>
            </w:tcBorders>
            <w:shd w:val="clear" w:color="auto" w:fill="EAEAEA"/>
            <w:noWrap/>
            <w:tcMar>
              <w:top w:w="0" w:type="dxa"/>
              <w:left w:w="157" w:type="dxa"/>
              <w:bottom w:w="0" w:type="dxa"/>
              <w:right w:w="157"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Typ nawierzchni drogi/barwa oznakowania</w:t>
            </w:r>
          </w:p>
        </w:tc>
        <w:tc>
          <w:tcPr>
            <w:tcW w:w="993" w:type="dxa"/>
            <w:tcBorders>
              <w:top w:val="single" w:sz="8" w:space="0" w:color="auto"/>
              <w:left w:val="single" w:sz="8" w:space="0" w:color="auto"/>
              <w:bottom w:val="double" w:sz="4" w:space="0" w:color="auto"/>
              <w:right w:val="nil"/>
            </w:tcBorders>
            <w:shd w:val="clear" w:color="auto" w:fill="EAEAEA"/>
            <w:noWrap/>
            <w:tcMar>
              <w:top w:w="0" w:type="dxa"/>
              <w:left w:w="157" w:type="dxa"/>
              <w:bottom w:w="0" w:type="dxa"/>
              <w:right w:w="157"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Klasa</w:t>
            </w:r>
          </w:p>
        </w:tc>
        <w:tc>
          <w:tcPr>
            <w:tcW w:w="4961" w:type="dxa"/>
            <w:tcBorders>
              <w:top w:val="single" w:sz="8" w:space="0" w:color="auto"/>
              <w:left w:val="single" w:sz="8" w:space="0" w:color="auto"/>
              <w:bottom w:val="double" w:sz="4" w:space="0" w:color="auto"/>
              <w:right w:val="single" w:sz="8" w:space="0" w:color="auto"/>
            </w:tcBorders>
            <w:shd w:val="clear" w:color="auto" w:fill="EAEAEA"/>
            <w:noWrap/>
            <w:tcMar>
              <w:top w:w="0" w:type="dxa"/>
              <w:left w:w="157" w:type="dxa"/>
              <w:bottom w:w="0" w:type="dxa"/>
              <w:right w:w="157"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Minimalna wartość współczynnika luminancji w świetle </w:t>
            </w:r>
            <w:r w:rsidRPr="00EF535A">
              <w:rPr>
                <w:rStyle w:val="spelle"/>
                <w:rFonts w:ascii="Times New Roman" w:hAnsi="Times New Roman" w:cs="Times New Roman"/>
                <w:sz w:val="18"/>
                <w:szCs w:val="18"/>
              </w:rPr>
              <w:t>rozproszonym,Qd</w:t>
            </w:r>
            <w:r w:rsidRPr="00EF535A">
              <w:rPr>
                <w:rFonts w:ascii="Times New Roman" w:hAnsi="Times New Roman" w:cs="Times New Roman"/>
                <w:i/>
                <w:iCs/>
                <w:sz w:val="18"/>
                <w:szCs w:val="18"/>
                <w:vertAlign w:val="subscript"/>
              </w:rPr>
              <w:t>  </w:t>
            </w: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r>
      <w:tr w:rsidR="00E847A6" w:rsidRPr="00EF535A" w:rsidTr="007E50B3">
        <w:tc>
          <w:tcPr>
            <w:tcW w:w="2835"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nawierzchnia asfaltowa/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barwa biała oznakowania</w:t>
            </w:r>
          </w:p>
        </w:tc>
        <w:tc>
          <w:tcPr>
            <w:tcW w:w="993"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Q0*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Q4</w:t>
            </w:r>
          </w:p>
        </w:tc>
        <w:tc>
          <w:tcPr>
            <w:tcW w:w="4961" w:type="dxa"/>
            <w:tcBorders>
              <w:top w:val="nil"/>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brak</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wymagania</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100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130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160</w:t>
            </w:r>
          </w:p>
        </w:tc>
      </w:tr>
      <w:tr w:rsidR="00E847A6" w:rsidRPr="00EF535A" w:rsidTr="007E50B3">
        <w:tc>
          <w:tcPr>
            <w:tcW w:w="2835"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nawierzchnia betonowa/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barwa biała oznakowania</w:t>
            </w:r>
          </w:p>
        </w:tc>
        <w:tc>
          <w:tcPr>
            <w:tcW w:w="993"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Q0*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Q3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Q4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Q5</w:t>
            </w:r>
          </w:p>
        </w:tc>
        <w:tc>
          <w:tcPr>
            <w:tcW w:w="4961" w:type="dxa"/>
            <w:tcBorders>
              <w:top w:val="nil"/>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brak wymagania</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160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200</w:t>
            </w:r>
          </w:p>
        </w:tc>
      </w:tr>
      <w:tr w:rsidR="00E847A6" w:rsidRPr="00EF535A" w:rsidTr="007E50B3">
        <w:tc>
          <w:tcPr>
            <w:tcW w:w="2835"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nawierzchnia asfaltowa i betonowa/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barwa żółta oznakowania</w:t>
            </w:r>
          </w:p>
        </w:tc>
        <w:tc>
          <w:tcPr>
            <w:tcW w:w="993"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Q0*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Q1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Q2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Q3</w:t>
            </w:r>
          </w:p>
        </w:tc>
        <w:tc>
          <w:tcPr>
            <w:tcW w:w="4961" w:type="dxa"/>
            <w:tcBorders>
              <w:top w:val="nil"/>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brak wymagania</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80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130</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Q0 jest stosowana, gdy widzialność w dzień jest oceniana za pomocą współczynnika luminancji </w:t>
      </w:r>
      <w:r w:rsidRPr="007078D3">
        <w:rPr>
          <w:rFonts w:ascii="Times New Roman" w:hAnsi="Times New Roman" w:cs="Times New Roman"/>
          <w:color w:val="000000"/>
          <w:szCs w:val="20"/>
          <w:lang w:val="en-GB"/>
        </w:rPr>
        <w:t>b</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Ze względu na wartość współczynnika luminancji ß</w:t>
      </w:r>
      <w:r w:rsidRPr="007078D3">
        <w:rPr>
          <w:rFonts w:ascii="Times New Roman" w:hAnsi="Times New Roman" w:cs="Times New Roman"/>
          <w:i/>
          <w:iCs/>
          <w:color w:val="000000"/>
          <w:szCs w:val="20"/>
        </w:rPr>
        <w:t> </w:t>
      </w:r>
      <w:r w:rsidRPr="007078D3">
        <w:rPr>
          <w:rFonts w:ascii="Times New Roman" w:hAnsi="Times New Roman" w:cs="Times New Roman"/>
          <w:color w:val="000000"/>
          <w:szCs w:val="20"/>
        </w:rPr>
        <w:t>poziome oznakowania drogowe dzieli się na klasy podane w tablicy 9 [1].</w:t>
      </w:r>
    </w:p>
    <w:p w:rsidR="00E847A6" w:rsidRPr="007078D3" w:rsidRDefault="00E847A6" w:rsidP="00E847A6">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Tablica 9.    Podział na klasy poziomego oznakowania drogowego ze względu na wartość współczynnika luminancji ß</w:t>
      </w:r>
    </w:p>
    <w:tbl>
      <w:tblPr>
        <w:tblW w:w="8789" w:type="dxa"/>
        <w:tblInd w:w="138" w:type="dxa"/>
        <w:shd w:val="clear" w:color="auto" w:fill="EAEAEA"/>
        <w:tblCellMar>
          <w:left w:w="0" w:type="dxa"/>
          <w:right w:w="0" w:type="dxa"/>
        </w:tblCellMar>
        <w:tblLook w:val="04A0"/>
      </w:tblPr>
      <w:tblGrid>
        <w:gridCol w:w="3261"/>
        <w:gridCol w:w="1842"/>
        <w:gridCol w:w="3686"/>
      </w:tblGrid>
      <w:tr w:rsidR="00E847A6" w:rsidRPr="00EF535A" w:rsidTr="007E50B3">
        <w:trPr>
          <w:tblHeader/>
        </w:trPr>
        <w:tc>
          <w:tcPr>
            <w:tcW w:w="3261" w:type="dxa"/>
            <w:tcBorders>
              <w:top w:val="single" w:sz="8" w:space="0" w:color="auto"/>
              <w:left w:val="single" w:sz="8" w:space="0" w:color="auto"/>
              <w:bottom w:val="double" w:sz="4" w:space="0" w:color="auto"/>
              <w:right w:val="single" w:sz="8" w:space="0" w:color="auto"/>
            </w:tcBorders>
            <w:shd w:val="clear" w:color="auto" w:fill="EAEAEA"/>
            <w:noWrap/>
            <w:tcMar>
              <w:top w:w="0" w:type="dxa"/>
              <w:left w:w="138" w:type="dxa"/>
              <w:bottom w:w="0" w:type="dxa"/>
              <w:right w:w="13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Typ nawierzchni drogi /barwa oznakowania</w:t>
            </w:r>
          </w:p>
        </w:tc>
        <w:tc>
          <w:tcPr>
            <w:tcW w:w="1842" w:type="dxa"/>
            <w:tcBorders>
              <w:top w:val="single" w:sz="8" w:space="0" w:color="auto"/>
              <w:left w:val="nil"/>
              <w:bottom w:val="double" w:sz="4" w:space="0" w:color="auto"/>
              <w:right w:val="nil"/>
            </w:tcBorders>
            <w:shd w:val="clear" w:color="auto" w:fill="EAEAEA"/>
            <w:noWrap/>
            <w:tcMar>
              <w:top w:w="0" w:type="dxa"/>
              <w:left w:w="138" w:type="dxa"/>
              <w:bottom w:w="0" w:type="dxa"/>
              <w:right w:w="13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w:t>
            </w:r>
          </w:p>
        </w:tc>
        <w:tc>
          <w:tcPr>
            <w:tcW w:w="3686" w:type="dxa"/>
            <w:tcBorders>
              <w:top w:val="single" w:sz="8" w:space="0" w:color="auto"/>
              <w:left w:val="single" w:sz="8" w:space="0" w:color="auto"/>
              <w:bottom w:val="double" w:sz="4" w:space="0" w:color="auto"/>
              <w:right w:val="single" w:sz="8" w:space="0" w:color="auto"/>
            </w:tcBorders>
            <w:shd w:val="clear" w:color="auto" w:fill="EAEAEA"/>
            <w:noWrap/>
            <w:tcMar>
              <w:top w:w="0" w:type="dxa"/>
              <w:left w:w="138" w:type="dxa"/>
              <w:bottom w:w="0" w:type="dxa"/>
              <w:right w:w="13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Wartość współczynnika ß</w:t>
            </w:r>
          </w:p>
        </w:tc>
      </w:tr>
      <w:tr w:rsidR="00E847A6" w:rsidRPr="00EF535A" w:rsidTr="007E50B3">
        <w:trPr>
          <w:trHeight w:val="1352"/>
        </w:trPr>
        <w:tc>
          <w:tcPr>
            <w:tcW w:w="3261" w:type="dxa"/>
            <w:tcBorders>
              <w:top w:val="nil"/>
              <w:left w:val="single" w:sz="8" w:space="0" w:color="auto"/>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nawierzchnia asfaltowa/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barwa biała oznakowania</w:t>
            </w:r>
          </w:p>
        </w:tc>
        <w:tc>
          <w:tcPr>
            <w:tcW w:w="1842" w:type="dxa"/>
            <w:tcBorders>
              <w:top w:val="nil"/>
              <w:left w:val="nil"/>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B5</w:t>
            </w:r>
          </w:p>
        </w:tc>
        <w:tc>
          <w:tcPr>
            <w:tcW w:w="3686" w:type="dxa"/>
            <w:tcBorders>
              <w:top w:val="nil"/>
              <w:left w:val="single" w:sz="8" w:space="0" w:color="auto"/>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bez</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wymagań</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0,40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0,60</w:t>
            </w:r>
          </w:p>
        </w:tc>
      </w:tr>
      <w:tr w:rsidR="00E847A6" w:rsidRPr="00EF535A" w:rsidTr="007E50B3">
        <w:trPr>
          <w:trHeight w:val="1226"/>
        </w:trPr>
        <w:tc>
          <w:tcPr>
            <w:tcW w:w="3261" w:type="dxa"/>
            <w:tcBorders>
              <w:top w:val="nil"/>
              <w:left w:val="single" w:sz="8" w:space="0" w:color="auto"/>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nawierzchnia betonowa/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barwa biała oznakowania</w:t>
            </w:r>
          </w:p>
        </w:tc>
        <w:tc>
          <w:tcPr>
            <w:tcW w:w="1842" w:type="dxa"/>
            <w:tcBorders>
              <w:top w:val="nil"/>
              <w:left w:val="nil"/>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B5</w:t>
            </w:r>
          </w:p>
        </w:tc>
        <w:tc>
          <w:tcPr>
            <w:tcW w:w="3686" w:type="dxa"/>
            <w:tcBorders>
              <w:top w:val="nil"/>
              <w:left w:val="single" w:sz="8" w:space="0" w:color="auto"/>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bez</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wymagań</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0,40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0,60</w:t>
            </w:r>
          </w:p>
        </w:tc>
      </w:tr>
      <w:tr w:rsidR="00E847A6" w:rsidRPr="00EF535A" w:rsidTr="007E50B3">
        <w:tc>
          <w:tcPr>
            <w:tcW w:w="3261" w:type="dxa"/>
            <w:tcBorders>
              <w:top w:val="nil"/>
              <w:left w:val="single" w:sz="8" w:space="0" w:color="auto"/>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nawierzchnia asfaltowa i betonowa/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barwa żółta oznakowania</w:t>
            </w:r>
          </w:p>
        </w:tc>
        <w:tc>
          <w:tcPr>
            <w:tcW w:w="1842" w:type="dxa"/>
            <w:tcBorders>
              <w:top w:val="nil"/>
              <w:left w:val="nil"/>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B3</w:t>
            </w:r>
          </w:p>
        </w:tc>
        <w:tc>
          <w:tcPr>
            <w:tcW w:w="3686" w:type="dxa"/>
            <w:tcBorders>
              <w:top w:val="nil"/>
              <w:left w:val="single" w:sz="8" w:space="0" w:color="auto"/>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brak</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wymagań</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0,40</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B0 jest stosowana, gdy widoczność w dzień jest oceniana za pomocą współczynnika luminancji w świetle rozproszonym </w:t>
      </w:r>
      <w:r w:rsidRPr="007078D3">
        <w:rPr>
          <w:rStyle w:val="spelle"/>
          <w:rFonts w:ascii="Times New Roman" w:hAnsi="Times New Roman" w:cs="Times New Roman"/>
          <w:color w:val="000000"/>
          <w:szCs w:val="20"/>
        </w:rPr>
        <w:t>Qd</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tablicy 10 podano wymagania względem współczynnika luminancji ß i współczynnika luminancji w świetle rozproszonym </w:t>
      </w:r>
      <w:r w:rsidRPr="007078D3">
        <w:rPr>
          <w:rStyle w:val="spelle"/>
          <w:rFonts w:ascii="Times New Roman" w:hAnsi="Times New Roman" w:cs="Times New Roman"/>
          <w:color w:val="000000"/>
          <w:szCs w:val="20"/>
        </w:rPr>
        <w:t>Qd</w:t>
      </w:r>
      <w:r w:rsidRPr="007078D3">
        <w:rPr>
          <w:rFonts w:ascii="Times New Roman" w:hAnsi="Times New Roman" w:cs="Times New Roman"/>
          <w:color w:val="000000"/>
          <w:szCs w:val="20"/>
        </w:rPr>
        <w:t>, jakie powinny spełniać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w okresie eksploatacji.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10. Wymagania eksploatacyjne odnośnie współczynnika luminancji ß i współczynnika luminancji w świetle rozproszonym </w:t>
      </w:r>
      <w:r w:rsidRPr="007078D3">
        <w:rPr>
          <w:rStyle w:val="spelle"/>
          <w:rFonts w:ascii="Times New Roman" w:hAnsi="Times New Roman" w:cs="Times New Roman"/>
          <w:color w:val="000000"/>
          <w:szCs w:val="20"/>
        </w:rPr>
        <w:t>Qd</w:t>
      </w:r>
      <w:r w:rsidRPr="007078D3">
        <w:rPr>
          <w:rFonts w:ascii="Times New Roman" w:hAnsi="Times New Roman" w:cs="Times New Roman"/>
          <w:color w:val="000000"/>
          <w:szCs w:val="20"/>
        </w:rPr>
        <w:t> oznakowań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Metody badań według PN-EN 1436:2012 [1]</w:t>
      </w:r>
    </w:p>
    <w:tbl>
      <w:tblPr>
        <w:tblW w:w="8859" w:type="dxa"/>
        <w:shd w:val="clear" w:color="auto" w:fill="EAEAEA"/>
        <w:tblCellMar>
          <w:left w:w="0" w:type="dxa"/>
          <w:right w:w="0" w:type="dxa"/>
        </w:tblCellMar>
        <w:tblLook w:val="04A0"/>
      </w:tblPr>
      <w:tblGrid>
        <w:gridCol w:w="700"/>
        <w:gridCol w:w="5529"/>
        <w:gridCol w:w="1134"/>
        <w:gridCol w:w="1559"/>
      </w:tblGrid>
      <w:tr w:rsidR="00E847A6" w:rsidRPr="00EF535A" w:rsidTr="007E50B3">
        <w:trPr>
          <w:tblHeader/>
        </w:trPr>
        <w:tc>
          <w:tcPr>
            <w:tcW w:w="637" w:type="dxa"/>
            <w:tcBorders>
              <w:top w:val="single" w:sz="8" w:space="0" w:color="auto"/>
              <w:left w:val="single" w:sz="8" w:space="0" w:color="auto"/>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Lp.</w:t>
            </w:r>
          </w:p>
        </w:tc>
        <w:tc>
          <w:tcPr>
            <w:tcW w:w="5529"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Właściwości</w:t>
            </w:r>
          </w:p>
        </w:tc>
        <w:tc>
          <w:tcPr>
            <w:tcW w:w="1134"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Jednostki</w:t>
            </w:r>
          </w:p>
        </w:tc>
        <w:tc>
          <w:tcPr>
            <w:tcW w:w="1559"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Wymagania</w:t>
            </w:r>
          </w:p>
        </w:tc>
      </w:tr>
      <w:tr w:rsidR="00E847A6" w:rsidRPr="00EF535A" w:rsidTr="007E50B3">
        <w:trPr>
          <w:trHeight w:val="528"/>
        </w:trPr>
        <w:tc>
          <w:tcPr>
            <w:tcW w:w="63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357" w:right="113"/>
              <w:rPr>
                <w:rFonts w:ascii="Times New Roman" w:hAnsi="Times New Roman" w:cs="Times New Roman"/>
                <w:sz w:val="18"/>
                <w:szCs w:val="18"/>
              </w:rPr>
            </w:pPr>
            <w:r w:rsidRPr="00EF535A">
              <w:rPr>
                <w:rFonts w:ascii="Times New Roman" w:hAnsi="Times New Roman" w:cs="Times New Roman"/>
                <w:sz w:val="18"/>
                <w:szCs w:val="18"/>
              </w:rPr>
              <w:t>1</w:t>
            </w:r>
          </w:p>
        </w:tc>
        <w:tc>
          <w:tcPr>
            <w:tcW w:w="552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luminacji </w:t>
            </w:r>
            <w:r w:rsidRPr="00EF535A">
              <w:rPr>
                <w:rFonts w:ascii="Times New Roman" w:hAnsi="Times New Roman" w:cs="Times New Roman"/>
                <w:sz w:val="18"/>
                <w:szCs w:val="18"/>
                <w:lang w:val="en-US"/>
              </w:rPr>
              <w:t>b </w:t>
            </w:r>
            <w:r w:rsidRPr="00EF535A">
              <w:rPr>
                <w:rFonts w:ascii="Times New Roman" w:hAnsi="Times New Roman" w:cs="Times New Roman"/>
                <w:sz w:val="18"/>
                <w:szCs w:val="18"/>
              </w:rPr>
              <w:t>dla oznakowania nowego (od 7 do 30 dnia):</w:t>
            </w:r>
            <w:r w:rsidRPr="00EF535A">
              <w:rPr>
                <w:rFonts w:ascii="Times New Roman" w:hAnsi="Times New Roman" w:cs="Times New Roman"/>
                <w:sz w:val="18"/>
                <w:szCs w:val="18"/>
                <w:vertAlign w:val="superscript"/>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biała na nawierzchni asfaltowej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B3)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biała na nawierzchni betonowej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B4)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żółta tymczasowa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B2)</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w:t>
            </w:r>
          </w:p>
        </w:tc>
        <w:tc>
          <w:tcPr>
            <w:tcW w:w="155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0,40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0,30</w:t>
            </w:r>
          </w:p>
        </w:tc>
      </w:tr>
      <w:tr w:rsidR="00E847A6" w:rsidRPr="00EF535A" w:rsidTr="007E50B3">
        <w:trPr>
          <w:trHeight w:val="695"/>
        </w:trPr>
        <w:tc>
          <w:tcPr>
            <w:tcW w:w="63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357" w:right="113"/>
              <w:rPr>
                <w:rFonts w:ascii="Times New Roman" w:hAnsi="Times New Roman" w:cs="Times New Roman"/>
                <w:sz w:val="18"/>
                <w:szCs w:val="18"/>
              </w:rPr>
            </w:pPr>
            <w:r w:rsidRPr="00EF535A">
              <w:rPr>
                <w:rFonts w:ascii="Times New Roman" w:hAnsi="Times New Roman" w:cs="Times New Roman"/>
                <w:sz w:val="18"/>
                <w:szCs w:val="18"/>
                <w:lang w:val="en-GB"/>
              </w:rPr>
              <w:t>2</w:t>
            </w:r>
          </w:p>
        </w:tc>
        <w:tc>
          <w:tcPr>
            <w:tcW w:w="552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luminacji </w:t>
            </w:r>
            <w:r w:rsidRPr="00EF535A">
              <w:rPr>
                <w:rFonts w:ascii="Times New Roman" w:hAnsi="Times New Roman" w:cs="Times New Roman"/>
                <w:sz w:val="18"/>
                <w:szCs w:val="18"/>
                <w:lang w:val="en-US"/>
              </w:rPr>
              <w:t>b </w:t>
            </w:r>
            <w:r w:rsidRPr="00EF535A">
              <w:rPr>
                <w:rFonts w:ascii="Times New Roman" w:hAnsi="Times New Roman" w:cs="Times New Roman"/>
                <w:sz w:val="18"/>
                <w:szCs w:val="18"/>
              </w:rPr>
              <w:t>dla oznakowania eksploatowanego po 30 dniu od wykonania:</w:t>
            </w:r>
            <w:r w:rsidRPr="00EF535A">
              <w:rPr>
                <w:rFonts w:ascii="Times New Roman" w:hAnsi="Times New Roman" w:cs="Times New Roman"/>
                <w:sz w:val="18"/>
                <w:szCs w:val="18"/>
                <w:vertAlign w:val="superscript"/>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biała na nawierzchni asfaltowej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B2)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biała na nawierzchni betonowej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B3)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żółta tymczasowa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B1)</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w:t>
            </w:r>
          </w:p>
        </w:tc>
        <w:tc>
          <w:tcPr>
            <w:tcW w:w="155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en-GB"/>
              </w:rPr>
              <w:t> 0,30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en-GB"/>
              </w:rPr>
              <w:t> 0,40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en-GB"/>
              </w:rPr>
              <w:t> 0,20</w:t>
            </w:r>
          </w:p>
        </w:tc>
      </w:tr>
      <w:tr w:rsidR="00E847A6" w:rsidRPr="00EF535A" w:rsidTr="007E50B3">
        <w:trPr>
          <w:trHeight w:val="549"/>
        </w:trPr>
        <w:tc>
          <w:tcPr>
            <w:tcW w:w="63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357" w:right="113"/>
              <w:rPr>
                <w:rFonts w:ascii="Times New Roman" w:hAnsi="Times New Roman" w:cs="Times New Roman"/>
                <w:sz w:val="18"/>
                <w:szCs w:val="18"/>
              </w:rPr>
            </w:pPr>
            <w:r w:rsidRPr="00EF535A">
              <w:rPr>
                <w:rFonts w:ascii="Times New Roman" w:hAnsi="Times New Roman" w:cs="Times New Roman"/>
                <w:sz w:val="18"/>
                <w:szCs w:val="18"/>
                <w:lang w:val="en-GB"/>
              </w:rPr>
              <w:t>3</w:t>
            </w:r>
          </w:p>
        </w:tc>
        <w:tc>
          <w:tcPr>
            <w:tcW w:w="552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luminacji w świetle rozproszonym Q</w:t>
            </w:r>
            <w:r w:rsidRPr="00EF535A">
              <w:rPr>
                <w:rFonts w:ascii="Times New Roman" w:hAnsi="Times New Roman" w:cs="Times New Roman"/>
                <w:sz w:val="18"/>
                <w:szCs w:val="18"/>
                <w:vertAlign w:val="subscript"/>
              </w:rPr>
              <w:t>D</w:t>
            </w:r>
            <w:r w:rsidRPr="00EF535A">
              <w:rPr>
                <w:rFonts w:ascii="Times New Roman" w:hAnsi="Times New Roman" w:cs="Times New Roman"/>
                <w:sz w:val="18"/>
                <w:szCs w:val="18"/>
              </w:rPr>
              <w:t> oznakowania nowego (od 7 do 30 dnia):</w:t>
            </w:r>
            <w:r w:rsidRPr="00EF535A">
              <w:rPr>
                <w:rFonts w:ascii="Times New Roman" w:hAnsi="Times New Roman" w:cs="Times New Roman"/>
                <w:sz w:val="18"/>
                <w:szCs w:val="18"/>
                <w:vertAlign w:val="superscript"/>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biała na nawierzchni asfaltowej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Q3)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biała na nawierzchni betonowej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Q4)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żółta tymczasowa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Q2)</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155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en-GB"/>
              </w:rPr>
              <w:t> 130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 </w:t>
            </w:r>
            <w:r w:rsidRPr="00EF535A">
              <w:rPr>
                <w:rFonts w:ascii="Times New Roman" w:hAnsi="Times New Roman" w:cs="Times New Roman"/>
                <w:sz w:val="18"/>
                <w:szCs w:val="18"/>
                <w:lang w:val="en-GB"/>
              </w:rPr>
              <w:t>160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en-GB"/>
              </w:rPr>
              <w:t> 100</w:t>
            </w:r>
          </w:p>
        </w:tc>
      </w:tr>
      <w:tr w:rsidR="00E847A6" w:rsidRPr="00EF535A" w:rsidTr="007E50B3">
        <w:trPr>
          <w:trHeight w:val="549"/>
        </w:trPr>
        <w:tc>
          <w:tcPr>
            <w:tcW w:w="63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357" w:right="113"/>
              <w:rPr>
                <w:rFonts w:ascii="Times New Roman" w:hAnsi="Times New Roman" w:cs="Times New Roman"/>
                <w:sz w:val="18"/>
                <w:szCs w:val="18"/>
              </w:rPr>
            </w:pPr>
            <w:r w:rsidRPr="00EF535A">
              <w:rPr>
                <w:rFonts w:ascii="Times New Roman" w:hAnsi="Times New Roman" w:cs="Times New Roman"/>
                <w:sz w:val="18"/>
                <w:szCs w:val="18"/>
                <w:lang w:val="en-GB"/>
              </w:rPr>
              <w:lastRenderedPageBreak/>
              <w:t>4</w:t>
            </w:r>
          </w:p>
        </w:tc>
        <w:tc>
          <w:tcPr>
            <w:tcW w:w="552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luminacji w świetle rozproszonym Q</w:t>
            </w:r>
            <w:r w:rsidRPr="00EF535A">
              <w:rPr>
                <w:rFonts w:ascii="Times New Roman" w:hAnsi="Times New Roman" w:cs="Times New Roman"/>
                <w:sz w:val="18"/>
                <w:szCs w:val="18"/>
                <w:vertAlign w:val="subscript"/>
              </w:rPr>
              <w:t>D</w:t>
            </w:r>
            <w:r w:rsidRPr="00EF535A">
              <w:rPr>
                <w:rFonts w:ascii="Times New Roman" w:hAnsi="Times New Roman" w:cs="Times New Roman"/>
                <w:sz w:val="18"/>
                <w:szCs w:val="18"/>
              </w:rPr>
              <w:t> oznakowania po 30 dniu od wykonania:</w:t>
            </w:r>
            <w:r w:rsidRPr="00EF535A">
              <w:rPr>
                <w:rFonts w:ascii="Times New Roman" w:hAnsi="Times New Roman" w:cs="Times New Roman"/>
                <w:sz w:val="18"/>
                <w:szCs w:val="18"/>
                <w:vertAlign w:val="superscript"/>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biała na nawierzchni asfaltowej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Q3)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biała na nawierzchni betonowej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Q4)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barwa żółta tymczasowa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Q2)</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155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en-GB"/>
              </w:rPr>
              <w:t> 130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en-GB"/>
              </w:rPr>
              <w:t> 160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en-GB"/>
              </w:rPr>
              <w:t> 100</w:t>
            </w:r>
          </w:p>
        </w:tc>
      </w:tr>
      <w:tr w:rsidR="00E847A6" w:rsidRPr="00EF535A" w:rsidTr="007E50B3">
        <w:trPr>
          <w:trHeight w:val="311"/>
        </w:trPr>
        <w:tc>
          <w:tcPr>
            <w:tcW w:w="63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357" w:right="113"/>
              <w:rPr>
                <w:rFonts w:ascii="Times New Roman" w:hAnsi="Times New Roman" w:cs="Times New Roman"/>
                <w:sz w:val="18"/>
                <w:szCs w:val="18"/>
              </w:rPr>
            </w:pPr>
            <w:r w:rsidRPr="00EF535A">
              <w:rPr>
                <w:rFonts w:ascii="Times New Roman" w:hAnsi="Times New Roman" w:cs="Times New Roman"/>
                <w:sz w:val="18"/>
                <w:szCs w:val="18"/>
                <w:lang w:val="en-GB"/>
              </w:rPr>
              <w:t>5</w:t>
            </w:r>
          </w:p>
        </w:tc>
        <w:tc>
          <w:tcPr>
            <w:tcW w:w="552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en-GB"/>
              </w:rPr>
              <w:t>Współrzędne</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chromatyczności</w:t>
            </w:r>
            <w:r w:rsidRPr="00EF535A">
              <w:rPr>
                <w:rFonts w:ascii="Times New Roman" w:hAnsi="Times New Roman" w:cs="Times New Roman"/>
                <w:sz w:val="18"/>
                <w:szCs w:val="18"/>
                <w:lang w:val="en-GB"/>
              </w:rPr>
              <w:t> </w:t>
            </w:r>
            <w:r w:rsidRPr="00EF535A">
              <w:rPr>
                <w:rStyle w:val="spelle"/>
                <w:rFonts w:ascii="Times New Roman" w:hAnsi="Times New Roman" w:cs="Times New Roman"/>
                <w:i/>
                <w:iCs/>
                <w:sz w:val="18"/>
                <w:szCs w:val="18"/>
                <w:lang w:val="en-GB"/>
              </w:rPr>
              <w:t>x</w:t>
            </w:r>
            <w:r w:rsidRPr="00EF535A">
              <w:rPr>
                <w:rStyle w:val="spelle"/>
                <w:rFonts w:ascii="Times New Roman" w:hAnsi="Times New Roman" w:cs="Times New Roman"/>
                <w:sz w:val="18"/>
                <w:szCs w:val="18"/>
                <w:lang w:val="en-GB"/>
              </w:rPr>
              <w:t>,</w:t>
            </w:r>
            <w:r w:rsidRPr="00EF535A">
              <w:rPr>
                <w:rStyle w:val="spelle"/>
                <w:rFonts w:ascii="Times New Roman" w:hAnsi="Times New Roman" w:cs="Times New Roman"/>
                <w:i/>
                <w:iCs/>
                <w:sz w:val="18"/>
                <w:szCs w:val="18"/>
                <w:lang w:val="en-GB"/>
              </w:rPr>
              <w:t>y</w:t>
            </w:r>
          </w:p>
        </w:tc>
        <w:tc>
          <w:tcPr>
            <w:tcW w:w="113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GB"/>
              </w:rPr>
              <w:t>-</w:t>
            </w:r>
          </w:p>
        </w:tc>
        <w:tc>
          <w:tcPr>
            <w:tcW w:w="1559"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wg</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rys</w:t>
            </w:r>
            <w:r w:rsidRPr="00EF535A">
              <w:rPr>
                <w:rFonts w:ascii="Times New Roman" w:hAnsi="Times New Roman" w:cs="Times New Roman"/>
                <w:sz w:val="18"/>
                <w:szCs w:val="18"/>
                <w:lang w:val="en-GB"/>
              </w:rPr>
              <w:t>. 1,2 i 3</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vertAlign w:val="superscript"/>
        </w:rPr>
        <w:t>* </w:t>
      </w:r>
      <w:r w:rsidRPr="007078D3">
        <w:rPr>
          <w:rFonts w:ascii="Times New Roman" w:hAnsi="Times New Roman" w:cs="Times New Roman"/>
          <w:color w:val="000000"/>
          <w:szCs w:val="20"/>
        </w:rPr>
        <w:t>na wszystkich drogach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Barwa oznakowania powinna być określona wg PN-EN 1436:2012 [1] przez współrzędne chromatyczności x i y, które dla suchego oznakowania powinny leżeć w obszarze zdefiniowanym przez cztery punkty narożne podane w tablicy 11 i na wykresach (rys. 1, 2 i 3).</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11. Punkty narożne obszarów chromatyczności oznakowań </w:t>
      </w:r>
      <w:r w:rsidRPr="007078D3">
        <w:rPr>
          <w:rStyle w:val="spelle"/>
          <w:rFonts w:ascii="Times New Roman" w:hAnsi="Times New Roman" w:cs="Times New Roman"/>
          <w:color w:val="000000"/>
          <w:szCs w:val="20"/>
        </w:rPr>
        <w:t>dróg</w:t>
      </w:r>
    </w:p>
    <w:tbl>
      <w:tblPr>
        <w:tblW w:w="7468" w:type="dxa"/>
        <w:shd w:val="clear" w:color="auto" w:fill="EAEAEA"/>
        <w:tblCellMar>
          <w:left w:w="0" w:type="dxa"/>
          <w:right w:w="0" w:type="dxa"/>
        </w:tblCellMar>
        <w:tblLook w:val="04A0"/>
      </w:tblPr>
      <w:tblGrid>
        <w:gridCol w:w="2601"/>
        <w:gridCol w:w="425"/>
        <w:gridCol w:w="1110"/>
        <w:gridCol w:w="1111"/>
        <w:gridCol w:w="1110"/>
        <w:gridCol w:w="1111"/>
      </w:tblGrid>
      <w:tr w:rsidR="00E847A6" w:rsidRPr="00EF535A" w:rsidTr="007E50B3">
        <w:trPr>
          <w:trHeight w:val="398"/>
        </w:trPr>
        <w:tc>
          <w:tcPr>
            <w:tcW w:w="3026" w:type="dxa"/>
            <w:gridSpan w:val="2"/>
            <w:tcBorders>
              <w:top w:val="single" w:sz="8" w:space="0" w:color="auto"/>
              <w:left w:val="single" w:sz="8" w:space="0" w:color="auto"/>
              <w:bottom w:val="double" w:sz="4"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pacing w:val="-3"/>
                <w:sz w:val="18"/>
                <w:szCs w:val="18"/>
              </w:rPr>
              <w:t>Punkt narożny </w:t>
            </w:r>
            <w:r w:rsidRPr="00EF535A">
              <w:rPr>
                <w:rStyle w:val="spelle"/>
                <w:rFonts w:ascii="Times New Roman" w:hAnsi="Times New Roman" w:cs="Times New Roman"/>
                <w:spacing w:val="-3"/>
                <w:sz w:val="18"/>
                <w:szCs w:val="18"/>
              </w:rPr>
              <w:t>nr</w:t>
            </w:r>
          </w:p>
        </w:tc>
        <w:tc>
          <w:tcPr>
            <w:tcW w:w="1110" w:type="dxa"/>
            <w:tcBorders>
              <w:top w:val="single" w:sz="8" w:space="0" w:color="auto"/>
              <w:left w:val="single" w:sz="8" w:space="0" w:color="auto"/>
              <w:bottom w:val="double" w:sz="4"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1</w:t>
            </w:r>
          </w:p>
        </w:tc>
        <w:tc>
          <w:tcPr>
            <w:tcW w:w="1111" w:type="dxa"/>
            <w:tcBorders>
              <w:top w:val="single" w:sz="8" w:space="0" w:color="auto"/>
              <w:left w:val="single" w:sz="8" w:space="0" w:color="auto"/>
              <w:bottom w:val="double" w:sz="4"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2</w:t>
            </w:r>
          </w:p>
        </w:tc>
        <w:tc>
          <w:tcPr>
            <w:tcW w:w="1110" w:type="dxa"/>
            <w:tcBorders>
              <w:top w:val="single" w:sz="8" w:space="0" w:color="auto"/>
              <w:left w:val="single" w:sz="8" w:space="0" w:color="auto"/>
              <w:bottom w:val="double" w:sz="4"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3</w:t>
            </w:r>
          </w:p>
        </w:tc>
        <w:tc>
          <w:tcPr>
            <w:tcW w:w="1111" w:type="dxa"/>
            <w:tcBorders>
              <w:top w:val="single" w:sz="8" w:space="0" w:color="auto"/>
              <w:left w:val="single" w:sz="8" w:space="0" w:color="auto"/>
              <w:bottom w:val="double" w:sz="4"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4</w:t>
            </w:r>
          </w:p>
        </w:tc>
      </w:tr>
      <w:tr w:rsidR="00E847A6" w:rsidRPr="00EF535A" w:rsidTr="007E50B3">
        <w:tc>
          <w:tcPr>
            <w:tcW w:w="2601"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pStyle w:val="Stopka"/>
              <w:rPr>
                <w:rFonts w:ascii="Times New Roman" w:hAnsi="Times New Roman" w:cs="Times New Roman"/>
                <w:sz w:val="18"/>
                <w:szCs w:val="18"/>
              </w:rPr>
            </w:pPr>
            <w:r w:rsidRPr="00EF535A">
              <w:rPr>
                <w:rFonts w:ascii="Times New Roman" w:hAnsi="Times New Roman" w:cs="Times New Roman"/>
                <w:spacing w:val="-3"/>
                <w:sz w:val="18"/>
                <w:szCs w:val="18"/>
              </w:rPr>
              <w:t>Oznakowanie białe</w:t>
            </w:r>
          </w:p>
        </w:tc>
        <w:tc>
          <w:tcPr>
            <w:tcW w:w="425"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x</w:t>
            </w:r>
          </w:p>
        </w:tc>
        <w:tc>
          <w:tcPr>
            <w:tcW w:w="1110"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0,355</w:t>
            </w:r>
          </w:p>
        </w:tc>
        <w:tc>
          <w:tcPr>
            <w:tcW w:w="1111"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0,305</w:t>
            </w:r>
          </w:p>
        </w:tc>
        <w:tc>
          <w:tcPr>
            <w:tcW w:w="1110"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0,285</w:t>
            </w:r>
          </w:p>
        </w:tc>
        <w:tc>
          <w:tcPr>
            <w:tcW w:w="1111" w:type="dxa"/>
            <w:tcBorders>
              <w:top w:val="nil"/>
              <w:left w:val="single" w:sz="8" w:space="0" w:color="auto"/>
              <w:bottom w:val="nil"/>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0,335</w:t>
            </w:r>
          </w:p>
        </w:tc>
      </w:tr>
      <w:tr w:rsidR="00E847A6" w:rsidRPr="00EF535A" w:rsidTr="007E50B3">
        <w:tc>
          <w:tcPr>
            <w:tcW w:w="2601"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pacing w:val="-3"/>
                <w:sz w:val="18"/>
                <w:szCs w:val="18"/>
              </w:rPr>
              <w:t> </w:t>
            </w:r>
          </w:p>
        </w:tc>
        <w:tc>
          <w:tcPr>
            <w:tcW w:w="425" w:type="dxa"/>
            <w:tcBorders>
              <w:top w:val="single" w:sz="8" w:space="0" w:color="auto"/>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y</w:t>
            </w:r>
          </w:p>
        </w:tc>
        <w:tc>
          <w:tcPr>
            <w:tcW w:w="1110" w:type="dxa"/>
            <w:tcBorders>
              <w:top w:val="single" w:sz="8" w:space="0" w:color="auto"/>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0,355</w:t>
            </w:r>
          </w:p>
        </w:tc>
        <w:tc>
          <w:tcPr>
            <w:tcW w:w="1111" w:type="dxa"/>
            <w:tcBorders>
              <w:top w:val="single" w:sz="8" w:space="0" w:color="auto"/>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0,305</w:t>
            </w:r>
          </w:p>
        </w:tc>
        <w:tc>
          <w:tcPr>
            <w:tcW w:w="1110" w:type="dxa"/>
            <w:tcBorders>
              <w:top w:val="single" w:sz="8" w:space="0" w:color="auto"/>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0,325</w:t>
            </w:r>
          </w:p>
        </w:tc>
        <w:tc>
          <w:tcPr>
            <w:tcW w:w="1111" w:type="dxa"/>
            <w:tcBorders>
              <w:top w:val="single" w:sz="8" w:space="0" w:color="auto"/>
              <w:left w:val="single" w:sz="8" w:space="0" w:color="auto"/>
              <w:bottom w:val="nil"/>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0,375</w:t>
            </w:r>
          </w:p>
        </w:tc>
      </w:tr>
      <w:tr w:rsidR="00E847A6" w:rsidRPr="00EF535A" w:rsidTr="007E50B3">
        <w:trPr>
          <w:trHeight w:val="350"/>
        </w:trPr>
        <w:tc>
          <w:tcPr>
            <w:tcW w:w="2601" w:type="dxa"/>
            <w:tcBorders>
              <w:top w:val="single" w:sz="8" w:space="0" w:color="auto"/>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pacing w:val="-3"/>
                <w:sz w:val="18"/>
                <w:szCs w:val="18"/>
              </w:rPr>
              <w:t>Oznakowanie żółte</w:t>
            </w:r>
          </w:p>
        </w:tc>
        <w:tc>
          <w:tcPr>
            <w:tcW w:w="425" w:type="dxa"/>
            <w:tcBorders>
              <w:top w:val="single" w:sz="8" w:space="0" w:color="auto"/>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x</w:t>
            </w:r>
          </w:p>
        </w:tc>
        <w:tc>
          <w:tcPr>
            <w:tcW w:w="1110" w:type="dxa"/>
            <w:tcBorders>
              <w:top w:val="single" w:sz="8" w:space="0" w:color="auto"/>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0,443</w:t>
            </w:r>
          </w:p>
        </w:tc>
        <w:tc>
          <w:tcPr>
            <w:tcW w:w="1111" w:type="dxa"/>
            <w:tcBorders>
              <w:top w:val="single" w:sz="8" w:space="0" w:color="auto"/>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0,545</w:t>
            </w:r>
          </w:p>
        </w:tc>
        <w:tc>
          <w:tcPr>
            <w:tcW w:w="1110" w:type="dxa"/>
            <w:tcBorders>
              <w:top w:val="single" w:sz="8" w:space="0" w:color="auto"/>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0,465</w:t>
            </w:r>
          </w:p>
        </w:tc>
        <w:tc>
          <w:tcPr>
            <w:tcW w:w="1111" w:type="dxa"/>
            <w:tcBorders>
              <w:top w:val="single" w:sz="8" w:space="0" w:color="auto"/>
              <w:left w:val="single" w:sz="8" w:space="0" w:color="auto"/>
              <w:bottom w:val="nil"/>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0,389</w:t>
            </w:r>
          </w:p>
        </w:tc>
      </w:tr>
      <w:tr w:rsidR="00E847A6" w:rsidRPr="00EF535A" w:rsidTr="007E50B3">
        <w:tc>
          <w:tcPr>
            <w:tcW w:w="2601"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pacing w:val="-3"/>
                <w:sz w:val="18"/>
                <w:szCs w:val="18"/>
              </w:rPr>
              <w:t>klasa</w:t>
            </w:r>
            <w:r w:rsidRPr="00EF535A">
              <w:rPr>
                <w:rFonts w:ascii="Times New Roman" w:hAnsi="Times New Roman" w:cs="Times New Roman"/>
                <w:spacing w:val="-3"/>
                <w:sz w:val="18"/>
                <w:szCs w:val="18"/>
              </w:rPr>
              <w:t> Y1</w:t>
            </w:r>
          </w:p>
        </w:tc>
        <w:tc>
          <w:tcPr>
            <w:tcW w:w="425" w:type="dxa"/>
            <w:tcBorders>
              <w:top w:val="single" w:sz="8" w:space="0" w:color="auto"/>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y</w:t>
            </w:r>
          </w:p>
        </w:tc>
        <w:tc>
          <w:tcPr>
            <w:tcW w:w="1110" w:type="dxa"/>
            <w:tcBorders>
              <w:top w:val="single" w:sz="8" w:space="0" w:color="auto"/>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0,399</w:t>
            </w:r>
          </w:p>
        </w:tc>
        <w:tc>
          <w:tcPr>
            <w:tcW w:w="1111" w:type="dxa"/>
            <w:tcBorders>
              <w:top w:val="single" w:sz="8" w:space="0" w:color="auto"/>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0,455</w:t>
            </w:r>
          </w:p>
        </w:tc>
        <w:tc>
          <w:tcPr>
            <w:tcW w:w="1110" w:type="dxa"/>
            <w:tcBorders>
              <w:top w:val="single" w:sz="8" w:space="0" w:color="auto"/>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0,535</w:t>
            </w:r>
          </w:p>
        </w:tc>
        <w:tc>
          <w:tcPr>
            <w:tcW w:w="1111" w:type="dxa"/>
            <w:tcBorders>
              <w:top w:val="single" w:sz="8" w:space="0" w:color="auto"/>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0,431</w:t>
            </w:r>
          </w:p>
        </w:tc>
      </w:tr>
      <w:tr w:rsidR="00E847A6" w:rsidRPr="00EF535A" w:rsidTr="007E50B3">
        <w:tc>
          <w:tcPr>
            <w:tcW w:w="2601"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pacing w:val="-3"/>
                <w:sz w:val="18"/>
                <w:szCs w:val="18"/>
              </w:rPr>
              <w:t>Oznakowanie żółte</w:t>
            </w:r>
          </w:p>
        </w:tc>
        <w:tc>
          <w:tcPr>
            <w:tcW w:w="425"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x</w:t>
            </w:r>
          </w:p>
        </w:tc>
        <w:tc>
          <w:tcPr>
            <w:tcW w:w="1110"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0,494</w:t>
            </w:r>
          </w:p>
        </w:tc>
        <w:tc>
          <w:tcPr>
            <w:tcW w:w="1111"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0,545</w:t>
            </w:r>
          </w:p>
        </w:tc>
        <w:tc>
          <w:tcPr>
            <w:tcW w:w="1110"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0,465</w:t>
            </w:r>
          </w:p>
        </w:tc>
        <w:tc>
          <w:tcPr>
            <w:tcW w:w="1111" w:type="dxa"/>
            <w:tcBorders>
              <w:top w:val="nil"/>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0,427</w:t>
            </w:r>
          </w:p>
        </w:tc>
      </w:tr>
      <w:tr w:rsidR="00E847A6" w:rsidRPr="00EF535A" w:rsidTr="007E50B3">
        <w:tc>
          <w:tcPr>
            <w:tcW w:w="2601"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pacing w:val="-3"/>
                <w:sz w:val="18"/>
                <w:szCs w:val="18"/>
              </w:rPr>
              <w:t>klasa</w:t>
            </w:r>
            <w:r w:rsidRPr="00EF535A">
              <w:rPr>
                <w:rFonts w:ascii="Times New Roman" w:hAnsi="Times New Roman" w:cs="Times New Roman"/>
                <w:spacing w:val="-3"/>
                <w:sz w:val="18"/>
                <w:szCs w:val="18"/>
              </w:rPr>
              <w:t> Y2</w:t>
            </w:r>
          </w:p>
        </w:tc>
        <w:tc>
          <w:tcPr>
            <w:tcW w:w="425"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y</w:t>
            </w:r>
          </w:p>
        </w:tc>
        <w:tc>
          <w:tcPr>
            <w:tcW w:w="1110"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0,427</w:t>
            </w:r>
          </w:p>
        </w:tc>
        <w:tc>
          <w:tcPr>
            <w:tcW w:w="1111"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0,455</w:t>
            </w:r>
          </w:p>
        </w:tc>
        <w:tc>
          <w:tcPr>
            <w:tcW w:w="1110"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0,535</w:t>
            </w:r>
          </w:p>
        </w:tc>
        <w:tc>
          <w:tcPr>
            <w:tcW w:w="1111" w:type="dxa"/>
            <w:tcBorders>
              <w:top w:val="nil"/>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0,483</w:t>
            </w:r>
          </w:p>
        </w:tc>
      </w:tr>
      <w:tr w:rsidR="00E847A6" w:rsidRPr="00EF535A" w:rsidTr="007E50B3">
        <w:tc>
          <w:tcPr>
            <w:tcW w:w="2601"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pacing w:val="-3"/>
                <w:sz w:val="18"/>
                <w:szCs w:val="18"/>
              </w:rPr>
              <w:t>Oznakowanie czerwone</w:t>
            </w:r>
          </w:p>
        </w:tc>
        <w:tc>
          <w:tcPr>
            <w:tcW w:w="425"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x</w:t>
            </w:r>
          </w:p>
        </w:tc>
        <w:tc>
          <w:tcPr>
            <w:tcW w:w="1110"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0,690</w:t>
            </w:r>
          </w:p>
        </w:tc>
        <w:tc>
          <w:tcPr>
            <w:tcW w:w="1111"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0,530</w:t>
            </w:r>
          </w:p>
        </w:tc>
        <w:tc>
          <w:tcPr>
            <w:tcW w:w="1110"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0,495</w:t>
            </w:r>
          </w:p>
        </w:tc>
        <w:tc>
          <w:tcPr>
            <w:tcW w:w="1111" w:type="dxa"/>
            <w:tcBorders>
              <w:top w:val="nil"/>
              <w:left w:val="single" w:sz="8" w:space="0" w:color="auto"/>
              <w:bottom w:val="nil"/>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0,655</w:t>
            </w:r>
          </w:p>
        </w:tc>
      </w:tr>
      <w:tr w:rsidR="00E847A6" w:rsidRPr="00EF535A" w:rsidTr="007E50B3">
        <w:tc>
          <w:tcPr>
            <w:tcW w:w="2601"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pacing w:val="-3"/>
                <w:sz w:val="18"/>
                <w:szCs w:val="18"/>
              </w:rPr>
              <w:t> </w:t>
            </w:r>
          </w:p>
        </w:tc>
        <w:tc>
          <w:tcPr>
            <w:tcW w:w="425" w:type="dxa"/>
            <w:tcBorders>
              <w:top w:val="single" w:sz="8" w:space="0" w:color="auto"/>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y</w:t>
            </w:r>
          </w:p>
        </w:tc>
        <w:tc>
          <w:tcPr>
            <w:tcW w:w="1110" w:type="dxa"/>
            <w:tcBorders>
              <w:top w:val="single" w:sz="8" w:space="0" w:color="auto"/>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0,310</w:t>
            </w:r>
          </w:p>
        </w:tc>
        <w:tc>
          <w:tcPr>
            <w:tcW w:w="1111" w:type="dxa"/>
            <w:tcBorders>
              <w:top w:val="single" w:sz="8" w:space="0" w:color="auto"/>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0,300</w:t>
            </w:r>
          </w:p>
        </w:tc>
        <w:tc>
          <w:tcPr>
            <w:tcW w:w="1110" w:type="dxa"/>
            <w:tcBorders>
              <w:top w:val="single" w:sz="8" w:space="0" w:color="auto"/>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0,335</w:t>
            </w:r>
          </w:p>
        </w:tc>
        <w:tc>
          <w:tcPr>
            <w:tcW w:w="1111" w:type="dxa"/>
            <w:tcBorders>
              <w:top w:val="single" w:sz="8" w:space="0" w:color="auto"/>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0,345</w:t>
            </w:r>
          </w:p>
        </w:tc>
      </w:tr>
      <w:tr w:rsidR="00E847A6" w:rsidRPr="00EF535A" w:rsidTr="007E50B3">
        <w:tc>
          <w:tcPr>
            <w:tcW w:w="2601" w:type="dxa"/>
            <w:tcBorders>
              <w:top w:val="nil"/>
              <w:left w:val="single" w:sz="8" w:space="0" w:color="auto"/>
              <w:bottom w:val="nil"/>
              <w:right w:val="nil"/>
            </w:tcBorders>
            <w:shd w:val="clear" w:color="auto" w:fill="EAEAEA"/>
            <w:noWrap/>
            <w:tcMar>
              <w:top w:w="0" w:type="dxa"/>
              <w:left w:w="157" w:type="dxa"/>
              <w:bottom w:w="0" w:type="dxa"/>
              <w:right w:w="157" w:type="dxa"/>
            </w:tcMar>
            <w:hideMark/>
          </w:tcPr>
          <w:p w:rsidR="00E847A6" w:rsidRPr="00EF535A" w:rsidRDefault="00E847A6" w:rsidP="007E50B3">
            <w:pPr>
              <w:pStyle w:val="Stopka"/>
              <w:rPr>
                <w:rFonts w:ascii="Times New Roman" w:hAnsi="Times New Roman" w:cs="Times New Roman"/>
                <w:sz w:val="18"/>
                <w:szCs w:val="18"/>
              </w:rPr>
            </w:pPr>
            <w:r w:rsidRPr="00EF535A">
              <w:rPr>
                <w:rFonts w:ascii="Times New Roman" w:hAnsi="Times New Roman" w:cs="Times New Roman"/>
                <w:spacing w:val="-3"/>
                <w:sz w:val="18"/>
                <w:szCs w:val="18"/>
              </w:rPr>
              <w:t>Oznakowanie niebieskie</w:t>
            </w:r>
          </w:p>
        </w:tc>
        <w:tc>
          <w:tcPr>
            <w:tcW w:w="425"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x</w:t>
            </w:r>
          </w:p>
        </w:tc>
        <w:tc>
          <w:tcPr>
            <w:tcW w:w="1110"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0,078</w:t>
            </w:r>
          </w:p>
        </w:tc>
        <w:tc>
          <w:tcPr>
            <w:tcW w:w="1111"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0,200</w:t>
            </w:r>
          </w:p>
        </w:tc>
        <w:tc>
          <w:tcPr>
            <w:tcW w:w="1110"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0,240</w:t>
            </w:r>
          </w:p>
        </w:tc>
        <w:tc>
          <w:tcPr>
            <w:tcW w:w="1111" w:type="dxa"/>
            <w:tcBorders>
              <w:top w:val="nil"/>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0,137</w:t>
            </w:r>
          </w:p>
        </w:tc>
      </w:tr>
      <w:tr w:rsidR="00E847A6" w:rsidRPr="00EF535A" w:rsidTr="007E50B3">
        <w:tc>
          <w:tcPr>
            <w:tcW w:w="2601"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pacing w:val="-3"/>
                <w:sz w:val="18"/>
                <w:szCs w:val="18"/>
              </w:rPr>
              <w:t> </w:t>
            </w:r>
          </w:p>
        </w:tc>
        <w:tc>
          <w:tcPr>
            <w:tcW w:w="425"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y</w:t>
            </w:r>
          </w:p>
        </w:tc>
        <w:tc>
          <w:tcPr>
            <w:tcW w:w="1110"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0,171</w:t>
            </w:r>
          </w:p>
        </w:tc>
        <w:tc>
          <w:tcPr>
            <w:tcW w:w="1111"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0,255</w:t>
            </w:r>
          </w:p>
        </w:tc>
        <w:tc>
          <w:tcPr>
            <w:tcW w:w="1110"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0,210</w:t>
            </w:r>
          </w:p>
        </w:tc>
        <w:tc>
          <w:tcPr>
            <w:tcW w:w="1111" w:type="dxa"/>
            <w:tcBorders>
              <w:top w:val="nil"/>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pacing w:val="-3"/>
                <w:sz w:val="18"/>
                <w:szCs w:val="18"/>
              </w:rPr>
              <w:t>0,038</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p>
    <w:p w:rsidR="00E847A6" w:rsidRPr="007078D3" w:rsidRDefault="00E847A6" w:rsidP="00E847A6">
      <w:pPr>
        <w:pStyle w:val="Stopka"/>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2668773" cy="2237223"/>
            <wp:effectExtent l="0" t="0" r="0" b="0"/>
            <wp:docPr id="955886095"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72542" cy="2240382"/>
                    </a:xfrm>
                    <a:prstGeom prst="rect">
                      <a:avLst/>
                    </a:prstGeom>
                    <a:noFill/>
                    <a:ln>
                      <a:noFill/>
                    </a:ln>
                  </pic:spPr>
                </pic:pic>
              </a:graphicData>
            </a:graphic>
          </wp:inline>
        </w:drawing>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Rys. 1. Współrzędne chromatyczności </w:t>
      </w:r>
      <w:r w:rsidRPr="007078D3">
        <w:rPr>
          <w:rStyle w:val="spelle"/>
          <w:rFonts w:ascii="Times New Roman" w:hAnsi="Times New Roman" w:cs="Times New Roman"/>
          <w:color w:val="000000"/>
          <w:szCs w:val="20"/>
        </w:rPr>
        <w:t>x,y</w:t>
      </w:r>
      <w:r w:rsidRPr="007078D3">
        <w:rPr>
          <w:rFonts w:ascii="Times New Roman" w:hAnsi="Times New Roman" w:cs="Times New Roman"/>
          <w:color w:val="000000"/>
          <w:szCs w:val="20"/>
        </w:rPr>
        <w:t> dla barwy białej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2626242" cy="2223497"/>
            <wp:effectExtent l="0" t="0" r="0" b="0"/>
            <wp:docPr id="1160342711"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30448" cy="2227058"/>
                    </a:xfrm>
                    <a:prstGeom prst="rect">
                      <a:avLst/>
                    </a:prstGeom>
                    <a:noFill/>
                    <a:ln>
                      <a:noFill/>
                    </a:ln>
                  </pic:spPr>
                </pic:pic>
              </a:graphicData>
            </a:graphic>
          </wp:inline>
        </w:drawing>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Rys.2. Współrzędne chromatyczności </w:t>
      </w:r>
      <w:r w:rsidRPr="007078D3">
        <w:rPr>
          <w:rStyle w:val="spelle"/>
          <w:rFonts w:ascii="Times New Roman" w:hAnsi="Times New Roman" w:cs="Times New Roman"/>
          <w:color w:val="000000"/>
          <w:szCs w:val="20"/>
        </w:rPr>
        <w:t>x,y</w:t>
      </w:r>
      <w:r w:rsidRPr="007078D3">
        <w:rPr>
          <w:rFonts w:ascii="Times New Roman" w:hAnsi="Times New Roman" w:cs="Times New Roman"/>
          <w:color w:val="000000"/>
          <w:szCs w:val="20"/>
        </w:rPr>
        <w:t> dla barwy żółtej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lastRenderedPageBreak/>
        <w:drawing>
          <wp:inline distT="0" distB="0" distL="0" distR="0">
            <wp:extent cx="5307965" cy="5688330"/>
            <wp:effectExtent l="0" t="0" r="0" b="0"/>
            <wp:docPr id="1592567691"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07965" cy="5688330"/>
                    </a:xfrm>
                    <a:prstGeom prst="rect">
                      <a:avLst/>
                    </a:prstGeom>
                    <a:noFill/>
                    <a:ln>
                      <a:noFill/>
                    </a:ln>
                  </pic:spPr>
                </pic:pic>
              </a:graphicData>
            </a:graphic>
          </wp:inline>
        </w:drawing>
      </w:r>
    </w:p>
    <w:p w:rsidR="00E847A6" w:rsidRPr="007078D3" w:rsidRDefault="00E847A6" w:rsidP="00E847A6">
      <w:pPr>
        <w:pStyle w:val="Tekstkomentarza"/>
        <w:spacing w:before="0" w:beforeAutospacing="0" w:after="0" w:afterAutospacing="0"/>
        <w:jc w:val="both"/>
        <w:rPr>
          <w:color w:val="000000"/>
          <w:sz w:val="20"/>
          <w:szCs w:val="20"/>
        </w:rPr>
      </w:pPr>
      <w:r w:rsidRPr="007078D3">
        <w:rPr>
          <w:color w:val="000000"/>
          <w:spacing w:val="-3"/>
          <w:sz w:val="20"/>
          <w:szCs w:val="20"/>
        </w:rPr>
        <w:t>Rys. 3. Granice barw białej, żółtej, czerwonej, niebieskiej i zielonej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6.4.1.3. Widzialność w nocy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Za miarę widzialności w nocy przyjęto powierzchniowy współczynnik odblasku R</w:t>
      </w:r>
      <w:r w:rsidRPr="007078D3">
        <w:rPr>
          <w:rFonts w:ascii="Times New Roman" w:hAnsi="Times New Roman" w:cs="Times New Roman"/>
          <w:color w:val="000000"/>
          <w:szCs w:val="20"/>
          <w:vertAlign w:val="subscript"/>
        </w:rPr>
        <w:t>L</w:t>
      </w:r>
      <w:r w:rsidRPr="007078D3">
        <w:rPr>
          <w:rFonts w:ascii="Times New Roman" w:hAnsi="Times New Roman" w:cs="Times New Roman"/>
          <w:color w:val="000000"/>
          <w:szCs w:val="20"/>
        </w:rPr>
        <w:t>, określany według PN-EN 1436:2012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Ze względu na wartość powierzchniowego współczynnika odblasku </w:t>
      </w:r>
      <w:r w:rsidRPr="007078D3">
        <w:rPr>
          <w:rFonts w:ascii="Times New Roman" w:hAnsi="Times New Roman" w:cs="Times New Roman"/>
          <w:i/>
          <w:iCs/>
          <w:color w:val="000000"/>
          <w:szCs w:val="20"/>
        </w:rPr>
        <w:t>R</w:t>
      </w:r>
      <w:r w:rsidRPr="007078D3">
        <w:rPr>
          <w:rFonts w:ascii="Times New Roman" w:hAnsi="Times New Roman" w:cs="Times New Roman"/>
          <w:i/>
          <w:iCs/>
          <w:color w:val="000000"/>
          <w:szCs w:val="20"/>
          <w:vertAlign w:val="subscript"/>
        </w:rPr>
        <w:t>L</w:t>
      </w:r>
      <w:r w:rsidRPr="007078D3">
        <w:rPr>
          <w:rFonts w:ascii="Times New Roman" w:hAnsi="Times New Roman" w:cs="Times New Roman"/>
          <w:color w:val="000000"/>
          <w:szCs w:val="20"/>
        </w:rPr>
        <w:t> [mcd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lx</w:t>
      </w:r>
      <w:r w:rsidRPr="007078D3">
        <w:rPr>
          <w:rFonts w:ascii="Times New Roman" w:hAnsi="Times New Roman" w:cs="Times New Roman"/>
          <w:color w:val="000000"/>
          <w:szCs w:val="20"/>
          <w:vertAlign w:val="superscript"/>
        </w:rPr>
        <w:t>-1</w:t>
      </w:r>
      <w:r w:rsidRPr="007078D3">
        <w:rPr>
          <w:rFonts w:ascii="Times New Roman" w:hAnsi="Times New Roman" w:cs="Times New Roman"/>
          <w:color w:val="000000"/>
          <w:szCs w:val="20"/>
        </w:rPr>
        <w:t>], poziome oznakowania drogowe w stanie suchym i wilgotnym dzieli się na klasy podane w tablicach: 12 i 13 [1].</w:t>
      </w:r>
    </w:p>
    <w:p w:rsidR="00E847A6" w:rsidRPr="007078D3" w:rsidRDefault="00E847A6" w:rsidP="00E847A6">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Tablica 12. Podział na klasy oznakowania drogi ze względu na wartość powierzchniowego współczynnika odblasku </w:t>
      </w:r>
      <w:r w:rsidRPr="007078D3">
        <w:rPr>
          <w:rFonts w:ascii="Times New Roman" w:hAnsi="Times New Roman" w:cs="Times New Roman"/>
          <w:i/>
          <w:iCs/>
          <w:color w:val="000000"/>
          <w:szCs w:val="20"/>
        </w:rPr>
        <w:t>R</w:t>
      </w:r>
      <w:r w:rsidRPr="007078D3">
        <w:rPr>
          <w:rFonts w:ascii="Times New Roman" w:hAnsi="Times New Roman" w:cs="Times New Roman"/>
          <w:i/>
          <w:iCs/>
          <w:color w:val="000000"/>
          <w:szCs w:val="20"/>
          <w:vertAlign w:val="subscript"/>
        </w:rPr>
        <w:t>L</w:t>
      </w:r>
    </w:p>
    <w:tbl>
      <w:tblPr>
        <w:tblW w:w="8789" w:type="dxa"/>
        <w:tblInd w:w="138" w:type="dxa"/>
        <w:shd w:val="clear" w:color="auto" w:fill="EAEAEA"/>
        <w:tblCellMar>
          <w:left w:w="0" w:type="dxa"/>
          <w:right w:w="0" w:type="dxa"/>
        </w:tblCellMar>
        <w:tblLook w:val="04A0"/>
      </w:tblPr>
      <w:tblGrid>
        <w:gridCol w:w="1984"/>
        <w:gridCol w:w="1277"/>
        <w:gridCol w:w="1275"/>
        <w:gridCol w:w="4253"/>
      </w:tblGrid>
      <w:tr w:rsidR="00E847A6" w:rsidRPr="00EF535A" w:rsidTr="007E50B3">
        <w:trPr>
          <w:trHeight w:val="636"/>
        </w:trPr>
        <w:tc>
          <w:tcPr>
            <w:tcW w:w="3261" w:type="dxa"/>
            <w:gridSpan w:val="2"/>
            <w:tcBorders>
              <w:top w:val="single" w:sz="8" w:space="0" w:color="auto"/>
              <w:left w:val="single" w:sz="8" w:space="0" w:color="auto"/>
              <w:bottom w:val="double" w:sz="4" w:space="0" w:color="auto"/>
              <w:right w:val="nil"/>
            </w:tcBorders>
            <w:shd w:val="clear" w:color="auto" w:fill="EAEAEA"/>
            <w:noWrap/>
            <w:tcMar>
              <w:top w:w="0" w:type="dxa"/>
              <w:left w:w="138" w:type="dxa"/>
              <w:bottom w:w="0" w:type="dxa"/>
              <w:right w:w="13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Typ oznakowania nawierzchni i barwa oznakowania</w:t>
            </w:r>
          </w:p>
        </w:tc>
        <w:tc>
          <w:tcPr>
            <w:tcW w:w="1275" w:type="dxa"/>
            <w:tcBorders>
              <w:top w:val="single" w:sz="8" w:space="0" w:color="auto"/>
              <w:left w:val="single" w:sz="8" w:space="0" w:color="auto"/>
              <w:bottom w:val="double" w:sz="4" w:space="0" w:color="auto"/>
              <w:right w:val="nil"/>
            </w:tcBorders>
            <w:shd w:val="clear" w:color="auto" w:fill="EAEAEA"/>
            <w:noWrap/>
            <w:tcMar>
              <w:top w:w="0" w:type="dxa"/>
              <w:left w:w="138" w:type="dxa"/>
              <w:bottom w:w="0" w:type="dxa"/>
              <w:right w:w="13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Klasa</w:t>
            </w:r>
          </w:p>
        </w:tc>
        <w:tc>
          <w:tcPr>
            <w:tcW w:w="4253" w:type="dxa"/>
            <w:tcBorders>
              <w:top w:val="single" w:sz="8" w:space="0" w:color="auto"/>
              <w:left w:val="single" w:sz="8" w:space="0" w:color="auto"/>
              <w:bottom w:val="double" w:sz="4" w:space="0" w:color="auto"/>
              <w:right w:val="single" w:sz="8" w:space="0" w:color="auto"/>
            </w:tcBorders>
            <w:shd w:val="clear" w:color="auto" w:fill="EAEAEA"/>
            <w:noWrap/>
            <w:tcMar>
              <w:top w:w="0" w:type="dxa"/>
              <w:left w:w="138" w:type="dxa"/>
              <w:bottom w:w="0" w:type="dxa"/>
              <w:right w:w="13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Wartość powierzchniowego współczynnika odbicia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r>
      <w:tr w:rsidR="00E847A6" w:rsidRPr="00EF535A" w:rsidTr="007E50B3">
        <w:trPr>
          <w:trHeight w:val="1458"/>
        </w:trPr>
        <w:tc>
          <w:tcPr>
            <w:tcW w:w="1984" w:type="dxa"/>
            <w:tcBorders>
              <w:top w:val="nil"/>
              <w:left w:val="single" w:sz="8" w:space="0" w:color="auto"/>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en-GB"/>
              </w:rPr>
              <w:t>trwałe</w:t>
            </w:r>
          </w:p>
        </w:tc>
        <w:tc>
          <w:tcPr>
            <w:tcW w:w="1277" w:type="dxa"/>
            <w:tcBorders>
              <w:top w:val="nil"/>
              <w:left w:val="single" w:sz="8" w:space="0" w:color="auto"/>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en-GB"/>
              </w:rPr>
              <w:t>biała</w:t>
            </w:r>
          </w:p>
        </w:tc>
        <w:tc>
          <w:tcPr>
            <w:tcW w:w="1275" w:type="dxa"/>
            <w:tcBorders>
              <w:top w:val="nil"/>
              <w:left w:val="single" w:sz="8" w:space="0" w:color="auto"/>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R0</w:t>
            </w:r>
            <w:r w:rsidRPr="00EF535A">
              <w:rPr>
                <w:rFonts w:ascii="Times New Roman" w:hAnsi="Times New Roman" w:cs="Times New Roman"/>
                <w:sz w:val="18"/>
                <w:szCs w:val="18"/>
                <w:vertAlign w:val="superscript"/>
                <w:lang w:val="en-GB"/>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R2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R3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R4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R5</w:t>
            </w:r>
          </w:p>
        </w:tc>
        <w:tc>
          <w:tcPr>
            <w:tcW w:w="4253" w:type="dxa"/>
            <w:tcBorders>
              <w:top w:val="nil"/>
              <w:left w:val="single" w:sz="8" w:space="0" w:color="auto"/>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brak</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wymagania</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100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200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300</w:t>
            </w:r>
          </w:p>
        </w:tc>
      </w:tr>
      <w:tr w:rsidR="00E847A6" w:rsidRPr="00EF535A" w:rsidTr="007E50B3">
        <w:trPr>
          <w:trHeight w:val="901"/>
        </w:trPr>
        <w:tc>
          <w:tcPr>
            <w:tcW w:w="1984" w:type="dxa"/>
            <w:tcBorders>
              <w:top w:val="nil"/>
              <w:left w:val="single" w:sz="8" w:space="0" w:color="auto"/>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en-GB"/>
              </w:rPr>
              <w:t>tymczasowe</w:t>
            </w:r>
          </w:p>
        </w:tc>
        <w:tc>
          <w:tcPr>
            <w:tcW w:w="1277" w:type="dxa"/>
            <w:tcBorders>
              <w:top w:val="nil"/>
              <w:left w:val="single" w:sz="8" w:space="0" w:color="auto"/>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en-GB"/>
              </w:rPr>
              <w:t>żółta</w:t>
            </w:r>
          </w:p>
        </w:tc>
        <w:tc>
          <w:tcPr>
            <w:tcW w:w="1275" w:type="dxa"/>
            <w:tcBorders>
              <w:top w:val="nil"/>
              <w:left w:val="single" w:sz="8" w:space="0" w:color="auto"/>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R0</w:t>
            </w:r>
            <w:r w:rsidRPr="00EF535A">
              <w:rPr>
                <w:rFonts w:ascii="Times New Roman" w:hAnsi="Times New Roman" w:cs="Times New Roman"/>
                <w:sz w:val="18"/>
                <w:szCs w:val="18"/>
                <w:vertAlign w:val="superscript"/>
                <w:lang w:val="en-GB"/>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R3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R5</w:t>
            </w:r>
          </w:p>
        </w:tc>
        <w:tc>
          <w:tcPr>
            <w:tcW w:w="4253" w:type="dxa"/>
            <w:tcBorders>
              <w:top w:val="nil"/>
              <w:left w:val="single" w:sz="8" w:space="0" w:color="auto"/>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brak</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wymagania</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300</w:t>
            </w:r>
          </w:p>
        </w:tc>
      </w:tr>
    </w:tbl>
    <w:p w:rsidR="00E847A6" w:rsidRPr="007078D3" w:rsidRDefault="00E847A6" w:rsidP="00E847A6">
      <w:pPr>
        <w:ind w:left="142" w:hanging="142"/>
        <w:rPr>
          <w:rFonts w:ascii="Times New Roman" w:hAnsi="Times New Roman" w:cs="Times New Roman"/>
          <w:color w:val="000000"/>
          <w:szCs w:val="20"/>
        </w:rPr>
      </w:pPr>
      <w:r w:rsidRPr="007078D3">
        <w:rPr>
          <w:rFonts w:ascii="Times New Roman" w:hAnsi="Times New Roman" w:cs="Times New Roman"/>
          <w:color w:val="000000"/>
          <w:szCs w:val="20"/>
          <w:vertAlign w:val="superscript"/>
        </w:rPr>
        <w:t>*</w:t>
      </w:r>
      <w:r w:rsidRPr="007078D3">
        <w:rPr>
          <w:rFonts w:ascii="Times New Roman" w:hAnsi="Times New Roman" w:cs="Times New Roman"/>
          <w:color w:val="000000"/>
          <w:szCs w:val="20"/>
        </w:rPr>
        <w:t> Klasa R0 przeznaczona jest dla warunków, gdy widoczność oznakowania uzyskiwana jest bez oświetlenia reflektorami samochodów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13. Klasy R</w:t>
      </w:r>
      <w:r w:rsidRPr="007078D3">
        <w:rPr>
          <w:rFonts w:ascii="Times New Roman" w:hAnsi="Times New Roman" w:cs="Times New Roman"/>
          <w:color w:val="000000"/>
          <w:szCs w:val="20"/>
          <w:vertAlign w:val="subscript"/>
        </w:rPr>
        <w:t>L</w:t>
      </w:r>
      <w:r w:rsidRPr="007078D3">
        <w:rPr>
          <w:rFonts w:ascii="Times New Roman" w:hAnsi="Times New Roman" w:cs="Times New Roman"/>
          <w:color w:val="000000"/>
          <w:szCs w:val="20"/>
        </w:rPr>
        <w:t> oznakowań drogowych w stanie wilgotnym</w:t>
      </w:r>
    </w:p>
    <w:tbl>
      <w:tblPr>
        <w:tblW w:w="8789" w:type="dxa"/>
        <w:tblInd w:w="157" w:type="dxa"/>
        <w:shd w:val="clear" w:color="auto" w:fill="EAEAEA"/>
        <w:tblCellMar>
          <w:left w:w="0" w:type="dxa"/>
          <w:right w:w="0" w:type="dxa"/>
        </w:tblCellMar>
        <w:tblLook w:val="04A0"/>
      </w:tblPr>
      <w:tblGrid>
        <w:gridCol w:w="3402"/>
        <w:gridCol w:w="993"/>
        <w:gridCol w:w="4394"/>
      </w:tblGrid>
      <w:tr w:rsidR="00E847A6" w:rsidRPr="00EF535A" w:rsidTr="007E50B3">
        <w:tc>
          <w:tcPr>
            <w:tcW w:w="3402" w:type="dxa"/>
            <w:tcBorders>
              <w:top w:val="single" w:sz="8" w:space="0" w:color="auto"/>
              <w:left w:val="single" w:sz="8" w:space="0" w:color="auto"/>
              <w:bottom w:val="double" w:sz="4" w:space="0" w:color="auto"/>
              <w:right w:val="nil"/>
            </w:tcBorders>
            <w:shd w:val="clear" w:color="auto" w:fill="EAEAEA"/>
            <w:noWrap/>
            <w:tcMar>
              <w:top w:w="0" w:type="dxa"/>
              <w:left w:w="157" w:type="dxa"/>
              <w:bottom w:w="0" w:type="dxa"/>
              <w:right w:w="157"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Warunki</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wilgotności</w:t>
            </w:r>
          </w:p>
        </w:tc>
        <w:tc>
          <w:tcPr>
            <w:tcW w:w="993" w:type="dxa"/>
            <w:tcBorders>
              <w:top w:val="single" w:sz="8" w:space="0" w:color="auto"/>
              <w:left w:val="single" w:sz="8" w:space="0" w:color="auto"/>
              <w:bottom w:val="double" w:sz="4" w:space="0" w:color="auto"/>
              <w:right w:val="nil"/>
            </w:tcBorders>
            <w:shd w:val="clear" w:color="auto" w:fill="EAEAEA"/>
            <w:noWrap/>
            <w:tcMar>
              <w:top w:w="0" w:type="dxa"/>
              <w:left w:w="157" w:type="dxa"/>
              <w:bottom w:w="0" w:type="dxa"/>
              <w:right w:w="157"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Klasy</w:t>
            </w:r>
          </w:p>
        </w:tc>
        <w:tc>
          <w:tcPr>
            <w:tcW w:w="4394" w:type="dxa"/>
            <w:tcBorders>
              <w:top w:val="single" w:sz="8" w:space="0" w:color="auto"/>
              <w:left w:val="single" w:sz="8" w:space="0" w:color="auto"/>
              <w:bottom w:val="double" w:sz="4" w:space="0" w:color="auto"/>
              <w:right w:val="single" w:sz="8" w:space="0" w:color="auto"/>
            </w:tcBorders>
            <w:shd w:val="clear" w:color="auto" w:fill="EAEAEA"/>
            <w:noWrap/>
            <w:tcMar>
              <w:top w:w="0" w:type="dxa"/>
              <w:left w:w="157" w:type="dxa"/>
              <w:bottom w:w="0" w:type="dxa"/>
              <w:right w:w="157"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Wartość powierzchniowego </w:t>
            </w:r>
            <w:r w:rsidRPr="00EF535A">
              <w:rPr>
                <w:rStyle w:val="spelle"/>
                <w:rFonts w:ascii="Times New Roman" w:hAnsi="Times New Roman" w:cs="Times New Roman"/>
                <w:sz w:val="18"/>
                <w:szCs w:val="18"/>
              </w:rPr>
              <w:t>współczyn-nika</w:t>
            </w:r>
            <w:r w:rsidRPr="00EF535A">
              <w:rPr>
                <w:rFonts w:ascii="Times New Roman" w:hAnsi="Times New Roman" w:cs="Times New Roman"/>
                <w:sz w:val="18"/>
                <w:szCs w:val="18"/>
              </w:rPr>
              <w:t> odbicia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xml:space="preserve">, </w:t>
            </w:r>
            <w:r w:rsidRPr="00EF535A">
              <w:rPr>
                <w:rFonts w:ascii="Times New Roman" w:hAnsi="Times New Roman" w:cs="Times New Roman"/>
                <w:sz w:val="18"/>
                <w:szCs w:val="18"/>
              </w:rPr>
              <w:lastRenderedPageBreak/>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r>
      <w:tr w:rsidR="00E847A6" w:rsidRPr="00EF535A" w:rsidTr="007E50B3">
        <w:tc>
          <w:tcPr>
            <w:tcW w:w="3402"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lastRenderedPageBreak/>
              <w:t>uzyskana po 1 min po wylaniu na oznakowanie 10 l wody</w:t>
            </w:r>
          </w:p>
        </w:tc>
        <w:tc>
          <w:tcPr>
            <w:tcW w:w="993" w:type="dxa"/>
            <w:tcBorders>
              <w:top w:val="nil"/>
              <w:left w:val="single" w:sz="8" w:space="0" w:color="auto"/>
              <w:bottom w:val="single" w:sz="8" w:space="0" w:color="auto"/>
              <w:right w:val="nil"/>
            </w:tcBorders>
            <w:shd w:val="clear" w:color="auto" w:fill="EAEAEA"/>
            <w:noWrap/>
            <w:tcMar>
              <w:top w:w="0" w:type="dxa"/>
              <w:left w:w="157" w:type="dxa"/>
              <w:bottom w:w="0" w:type="dxa"/>
              <w:right w:w="157"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RW0</w:t>
            </w:r>
            <w:r w:rsidRPr="00EF535A">
              <w:rPr>
                <w:rFonts w:ascii="Times New Roman" w:hAnsi="Times New Roman" w:cs="Times New Roman"/>
                <w:sz w:val="18"/>
                <w:szCs w:val="18"/>
                <w:vertAlign w:val="superscript"/>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RW1</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RW2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RW3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RW4</w:t>
            </w:r>
          </w:p>
        </w:tc>
        <w:tc>
          <w:tcPr>
            <w:tcW w:w="4394" w:type="dxa"/>
            <w:tcBorders>
              <w:top w:val="nil"/>
              <w:left w:val="single" w:sz="8" w:space="0" w:color="auto"/>
              <w:bottom w:val="single" w:sz="8" w:space="0" w:color="auto"/>
              <w:right w:val="single" w:sz="8" w:space="0" w:color="auto"/>
            </w:tcBorders>
            <w:shd w:val="clear" w:color="auto" w:fill="EAEAEA"/>
            <w:noWrap/>
            <w:tcMar>
              <w:top w:w="0" w:type="dxa"/>
              <w:left w:w="157" w:type="dxa"/>
              <w:bottom w:w="0" w:type="dxa"/>
              <w:right w:w="157"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GB"/>
              </w:rPr>
              <w:t>bez</w:t>
            </w:r>
            <w:r w:rsidRPr="00EF535A">
              <w:rPr>
                <w:rFonts w:ascii="Times New Roman" w:hAnsi="Times New Roman" w:cs="Times New Roman"/>
                <w:sz w:val="18"/>
                <w:szCs w:val="18"/>
                <w:lang w:val="en-GB"/>
              </w:rPr>
              <w:t> </w:t>
            </w:r>
            <w:r w:rsidRPr="00EF535A">
              <w:rPr>
                <w:rStyle w:val="spelle"/>
                <w:rFonts w:ascii="Times New Roman" w:hAnsi="Times New Roman" w:cs="Times New Roman"/>
                <w:sz w:val="18"/>
                <w:szCs w:val="18"/>
                <w:lang w:val="en-GB"/>
              </w:rPr>
              <w:t>wymagań</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25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35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GB"/>
              </w:rPr>
              <w:t>³ 75</w:t>
            </w:r>
          </w:p>
        </w:tc>
      </w:tr>
    </w:tbl>
    <w:p w:rsidR="00E847A6" w:rsidRPr="007078D3" w:rsidRDefault="00E847A6" w:rsidP="00E847A6">
      <w:pPr>
        <w:ind w:left="142" w:hanging="142"/>
        <w:rPr>
          <w:rFonts w:ascii="Times New Roman" w:hAnsi="Times New Roman" w:cs="Times New Roman"/>
          <w:color w:val="000000"/>
          <w:szCs w:val="20"/>
        </w:rPr>
      </w:pPr>
      <w:r w:rsidRPr="007078D3">
        <w:rPr>
          <w:rFonts w:ascii="Times New Roman" w:hAnsi="Times New Roman" w:cs="Times New Roman"/>
          <w:color w:val="000000"/>
          <w:szCs w:val="20"/>
          <w:vertAlign w:val="superscript"/>
        </w:rPr>
        <w:t>*</w:t>
      </w:r>
      <w:r w:rsidRPr="007078D3">
        <w:rPr>
          <w:rFonts w:ascii="Times New Roman" w:hAnsi="Times New Roman" w:cs="Times New Roman"/>
          <w:color w:val="000000"/>
          <w:szCs w:val="20"/>
        </w:rPr>
        <w:t> Klasa RW0 jest przeznaczona dla przypadków, gdy odblaskowość nie jest wymagana z przyczyn ekonomicznych lub technicznych.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PN-EN 1436:2012 [1] uwzględniono także podział na klasy RR odblaskowości oznakowanie drogi w czasie deszczu o intensywności 20 mm/h. Klasy te są identyczne jak w tablicy 13. Wymaganie to nie jest stosowane w Polsce, a także w większości krajów europejskich. Określana jest wtedy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RR0.</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tablicy 14 podano wymagania względem współczynnika odblasku </w:t>
      </w:r>
      <w:r w:rsidRPr="007078D3">
        <w:rPr>
          <w:rFonts w:ascii="Times New Roman" w:hAnsi="Times New Roman" w:cs="Times New Roman"/>
          <w:i/>
          <w:iCs/>
          <w:color w:val="000000"/>
          <w:szCs w:val="20"/>
        </w:rPr>
        <w:t>R</w:t>
      </w:r>
      <w:r w:rsidRPr="007078D3">
        <w:rPr>
          <w:rFonts w:ascii="Times New Roman" w:hAnsi="Times New Roman" w:cs="Times New Roman"/>
          <w:i/>
          <w:iCs/>
          <w:color w:val="000000"/>
          <w:szCs w:val="20"/>
          <w:vertAlign w:val="subscript"/>
        </w:rPr>
        <w:t>L</w:t>
      </w:r>
      <w:r w:rsidRPr="007078D3">
        <w:rPr>
          <w:rFonts w:ascii="Times New Roman" w:hAnsi="Times New Roman" w:cs="Times New Roman"/>
          <w:color w:val="000000"/>
          <w:szCs w:val="20"/>
        </w:rPr>
        <w:t> , jakie powinny spełniać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w okresie eksploatacji z podziałem na drogi klasy pierwszej o prędkości dopuszczalnej </w:t>
      </w:r>
      <w:r w:rsidRPr="007078D3">
        <w:rPr>
          <w:rFonts w:ascii="Times New Roman" w:hAnsi="Times New Roman" w:cs="Times New Roman"/>
          <w:color w:val="000000"/>
          <w:szCs w:val="20"/>
          <w:lang w:val="en-US"/>
        </w:rPr>
        <w:t>³</w:t>
      </w:r>
      <w:r w:rsidRPr="007078D3">
        <w:rPr>
          <w:rFonts w:ascii="Times New Roman" w:hAnsi="Times New Roman" w:cs="Times New Roman"/>
          <w:color w:val="000000"/>
          <w:szCs w:val="20"/>
        </w:rPr>
        <w:t> 100 km/h</w:t>
      </w:r>
      <w:r w:rsidRPr="007078D3">
        <w:rPr>
          <w:rFonts w:ascii="Times New Roman" w:hAnsi="Times New Roman" w:cs="Times New Roman"/>
          <w:color w:val="000000"/>
          <w:szCs w:val="20"/>
          <w:vertAlign w:val="superscript"/>
        </w:rPr>
        <w:t>  </w:t>
      </w:r>
      <w:r w:rsidRPr="007078D3">
        <w:rPr>
          <w:rFonts w:ascii="Times New Roman" w:hAnsi="Times New Roman" w:cs="Times New Roman"/>
          <w:color w:val="000000"/>
          <w:szCs w:val="20"/>
        </w:rPr>
        <w:t>i drugiej &lt; 100 km/h.</w:t>
      </w:r>
    </w:p>
    <w:p w:rsidR="00E847A6" w:rsidRPr="007078D3" w:rsidRDefault="00E847A6" w:rsidP="00E847A6">
      <w:pPr>
        <w:ind w:left="1276" w:hanging="1276"/>
        <w:rPr>
          <w:rFonts w:ascii="Times New Roman" w:hAnsi="Times New Roman" w:cs="Times New Roman"/>
          <w:color w:val="000000"/>
          <w:szCs w:val="20"/>
        </w:rPr>
      </w:pPr>
      <w:r w:rsidRPr="007078D3">
        <w:rPr>
          <w:rFonts w:ascii="Times New Roman" w:hAnsi="Times New Roman" w:cs="Times New Roman"/>
          <w:color w:val="000000"/>
          <w:szCs w:val="20"/>
        </w:rPr>
        <w:t>Tablica 14.    Wymagania eksploatacyjne dotyczące współczynnika odblasku oznakowań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[17]. Metody badań według PN-EN 1436:2012 [1] i PN-EN 1871:2003 [8]</w:t>
      </w:r>
    </w:p>
    <w:tbl>
      <w:tblPr>
        <w:tblW w:w="8859" w:type="dxa"/>
        <w:shd w:val="clear" w:color="auto" w:fill="EAEAEA"/>
        <w:tblCellMar>
          <w:left w:w="0" w:type="dxa"/>
          <w:right w:w="0" w:type="dxa"/>
        </w:tblCellMar>
        <w:tblLook w:val="04A0"/>
      </w:tblPr>
      <w:tblGrid>
        <w:gridCol w:w="496"/>
        <w:gridCol w:w="6237"/>
        <w:gridCol w:w="1134"/>
        <w:gridCol w:w="992"/>
      </w:tblGrid>
      <w:tr w:rsidR="00E847A6" w:rsidRPr="00EF535A" w:rsidTr="007E50B3">
        <w:trPr>
          <w:tblHeader/>
        </w:trPr>
        <w:tc>
          <w:tcPr>
            <w:tcW w:w="496" w:type="dxa"/>
            <w:tcBorders>
              <w:top w:val="single" w:sz="8" w:space="0" w:color="auto"/>
              <w:left w:val="single" w:sz="8" w:space="0" w:color="auto"/>
              <w:bottom w:val="double" w:sz="4" w:space="0" w:color="auto"/>
              <w:right w:val="single" w:sz="8" w:space="0" w:color="auto"/>
            </w:tcBorders>
            <w:shd w:val="clear" w:color="auto" w:fill="EAEAEA"/>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6237" w:type="dxa"/>
            <w:tcBorders>
              <w:top w:val="single" w:sz="8" w:space="0" w:color="auto"/>
              <w:left w:val="nil"/>
              <w:bottom w:val="double" w:sz="4" w:space="0" w:color="auto"/>
              <w:right w:val="single" w:sz="8" w:space="0" w:color="auto"/>
            </w:tcBorders>
            <w:shd w:val="clear" w:color="auto" w:fill="EAEAEA"/>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Właściwości</w:t>
            </w:r>
          </w:p>
        </w:tc>
        <w:tc>
          <w:tcPr>
            <w:tcW w:w="1134" w:type="dxa"/>
            <w:tcBorders>
              <w:top w:val="single" w:sz="8" w:space="0" w:color="auto"/>
              <w:left w:val="nil"/>
              <w:bottom w:val="double" w:sz="4" w:space="0" w:color="auto"/>
              <w:right w:val="single" w:sz="8" w:space="0" w:color="auto"/>
            </w:tcBorders>
            <w:shd w:val="clear" w:color="auto" w:fill="EAEAEA"/>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Jednostki</w:t>
            </w:r>
          </w:p>
        </w:tc>
        <w:tc>
          <w:tcPr>
            <w:tcW w:w="992" w:type="dxa"/>
            <w:tcBorders>
              <w:top w:val="single" w:sz="8" w:space="0" w:color="auto"/>
              <w:left w:val="nil"/>
              <w:bottom w:val="double" w:sz="4" w:space="0" w:color="auto"/>
              <w:right w:val="single" w:sz="8" w:space="0" w:color="auto"/>
            </w:tcBorders>
            <w:shd w:val="clear" w:color="auto" w:fill="EAEAEA"/>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rPr>
              <w:t>Wyma-gania</w:t>
            </w:r>
          </w:p>
        </w:tc>
      </w:tr>
      <w:tr w:rsidR="00E847A6" w:rsidRPr="00EF535A" w:rsidTr="007E50B3">
        <w:trPr>
          <w:trHeight w:val="755"/>
        </w:trPr>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ind w:left="113"/>
              <w:rPr>
                <w:rFonts w:ascii="Times New Roman" w:hAnsi="Times New Roman" w:cs="Times New Roman"/>
                <w:sz w:val="18"/>
                <w:szCs w:val="18"/>
              </w:rPr>
            </w:pPr>
            <w:r w:rsidRPr="00EF535A">
              <w:rPr>
                <w:rFonts w:ascii="Times New Roman" w:hAnsi="Times New Roman" w:cs="Times New Roman"/>
                <w:sz w:val="18"/>
                <w:szCs w:val="18"/>
              </w:rPr>
              <w:t>1</w:t>
            </w:r>
          </w:p>
        </w:tc>
        <w:tc>
          <w:tcPr>
            <w:tcW w:w="623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suchego oznakowania białego w stanie nowym (od 7 dnia do 30 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R4/5 (drogi o prędkości dopuszczalnej </w:t>
            </w:r>
            <w:r w:rsidRPr="00EF535A">
              <w:rPr>
                <w:rFonts w:ascii="Times New Roman" w:hAnsi="Times New Roman" w:cs="Times New Roman"/>
                <w:sz w:val="18"/>
                <w:szCs w:val="18"/>
                <w:lang w:val="en-US"/>
              </w:rPr>
              <w:t>³</w:t>
            </w:r>
            <w:r w:rsidRPr="00EF535A">
              <w:rPr>
                <w:rFonts w:ascii="Times New Roman" w:hAnsi="Times New Roman" w:cs="Times New Roman"/>
                <w:sz w:val="18"/>
                <w:szCs w:val="18"/>
              </w:rPr>
              <w:t> 100 km/h</w:t>
            </w:r>
            <w:r w:rsidRPr="00EF535A">
              <w:rPr>
                <w:rFonts w:ascii="Times New Roman" w:hAnsi="Times New Roman" w:cs="Times New Roman"/>
                <w:sz w:val="18"/>
                <w:szCs w:val="18"/>
                <w:vertAlign w:val="superscript"/>
              </w:rPr>
              <w:t>* </w:t>
            </w:r>
            <w:r w:rsidRPr="00EF535A">
              <w:rPr>
                <w:rFonts w:ascii="Times New Roman" w:hAnsi="Times New Roman" w:cs="Times New Roman"/>
                <w:sz w:val="18"/>
                <w:szCs w:val="18"/>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R4 (drogi o prędkości dopuszczalnej &lt; 100 km/h)</w:t>
            </w:r>
          </w:p>
        </w:tc>
        <w:tc>
          <w:tcPr>
            <w:tcW w:w="113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99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250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 </w:t>
            </w:r>
            <w:r w:rsidRPr="00EF535A">
              <w:rPr>
                <w:rFonts w:ascii="Times New Roman" w:hAnsi="Times New Roman" w:cs="Times New Roman"/>
                <w:sz w:val="18"/>
                <w:szCs w:val="18"/>
                <w:lang w:val="de-DE"/>
              </w:rPr>
              <w:t>200</w:t>
            </w:r>
          </w:p>
        </w:tc>
      </w:tr>
      <w:tr w:rsidR="00E847A6" w:rsidRPr="00EF535A" w:rsidTr="007E50B3">
        <w:trPr>
          <w:trHeight w:val="454"/>
        </w:trPr>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ind w:left="113"/>
              <w:rPr>
                <w:rFonts w:ascii="Times New Roman" w:hAnsi="Times New Roman" w:cs="Times New Roman"/>
                <w:sz w:val="18"/>
                <w:szCs w:val="18"/>
              </w:rPr>
            </w:pPr>
            <w:r w:rsidRPr="00EF535A">
              <w:rPr>
                <w:rFonts w:ascii="Times New Roman" w:hAnsi="Times New Roman" w:cs="Times New Roman"/>
                <w:sz w:val="18"/>
                <w:szCs w:val="18"/>
                <w:lang w:val="en-GB"/>
              </w:rPr>
              <w:t>2</w:t>
            </w:r>
          </w:p>
        </w:tc>
        <w:tc>
          <w:tcPr>
            <w:tcW w:w="623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suchego oznakowania białego eksploatowanego od 31 dnia do 180 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R4 (drogi o prędkości dopuszczalnej </w:t>
            </w:r>
            <w:r w:rsidRPr="00EF535A">
              <w:rPr>
                <w:rFonts w:ascii="Times New Roman" w:hAnsi="Times New Roman" w:cs="Times New Roman"/>
                <w:sz w:val="18"/>
                <w:szCs w:val="18"/>
                <w:lang w:val="en-US"/>
              </w:rPr>
              <w:t>³</w:t>
            </w:r>
            <w:r w:rsidRPr="00EF535A">
              <w:rPr>
                <w:rFonts w:ascii="Times New Roman" w:hAnsi="Times New Roman" w:cs="Times New Roman"/>
                <w:sz w:val="18"/>
                <w:szCs w:val="18"/>
              </w:rPr>
              <w:t> 100 km/h</w:t>
            </w:r>
            <w:r w:rsidRPr="00EF535A">
              <w:rPr>
                <w:rFonts w:ascii="Times New Roman" w:hAnsi="Times New Roman" w:cs="Times New Roman"/>
                <w:sz w:val="18"/>
                <w:szCs w:val="18"/>
                <w:vertAlign w:val="superscript"/>
              </w:rPr>
              <w:t>* </w:t>
            </w:r>
            <w:r w:rsidRPr="00EF535A">
              <w:rPr>
                <w:rFonts w:ascii="Times New Roman" w:hAnsi="Times New Roman" w:cs="Times New Roman"/>
                <w:sz w:val="18"/>
                <w:szCs w:val="18"/>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R3 (drogi o prędkości dopuszczalnej &lt; 100 km/h)</w:t>
            </w:r>
          </w:p>
        </w:tc>
        <w:tc>
          <w:tcPr>
            <w:tcW w:w="113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99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200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150</w:t>
            </w:r>
          </w:p>
        </w:tc>
      </w:tr>
      <w:tr w:rsidR="00E847A6" w:rsidRPr="00EF535A" w:rsidTr="007E50B3">
        <w:trPr>
          <w:trHeight w:val="454"/>
        </w:trPr>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ind w:left="113"/>
              <w:rPr>
                <w:rFonts w:ascii="Times New Roman" w:hAnsi="Times New Roman" w:cs="Times New Roman"/>
                <w:sz w:val="18"/>
                <w:szCs w:val="18"/>
              </w:rPr>
            </w:pPr>
            <w:r w:rsidRPr="00EF535A">
              <w:rPr>
                <w:rFonts w:ascii="Times New Roman" w:hAnsi="Times New Roman" w:cs="Times New Roman"/>
                <w:sz w:val="18"/>
                <w:szCs w:val="18"/>
                <w:lang w:val="en-GB"/>
              </w:rPr>
              <w:t>3</w:t>
            </w:r>
          </w:p>
        </w:tc>
        <w:tc>
          <w:tcPr>
            <w:tcW w:w="623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suchego oznakowania białego eksploatowanego od 181dnia: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R3 (drogi o prędkości dopuszczalnej </w:t>
            </w:r>
            <w:r w:rsidRPr="00EF535A">
              <w:rPr>
                <w:rFonts w:ascii="Times New Roman" w:hAnsi="Times New Roman" w:cs="Times New Roman"/>
                <w:sz w:val="18"/>
                <w:szCs w:val="18"/>
                <w:lang w:val="en-US"/>
              </w:rPr>
              <w:t>³</w:t>
            </w:r>
            <w:r w:rsidRPr="00EF535A">
              <w:rPr>
                <w:rFonts w:ascii="Times New Roman" w:hAnsi="Times New Roman" w:cs="Times New Roman"/>
                <w:sz w:val="18"/>
                <w:szCs w:val="18"/>
              </w:rPr>
              <w:t> 100 km/h</w:t>
            </w:r>
            <w:r w:rsidRPr="00EF535A">
              <w:rPr>
                <w:rFonts w:ascii="Times New Roman" w:hAnsi="Times New Roman" w:cs="Times New Roman"/>
                <w:sz w:val="18"/>
                <w:szCs w:val="18"/>
                <w:vertAlign w:val="superscript"/>
              </w:rPr>
              <w:t>* </w:t>
            </w:r>
            <w:r w:rsidRPr="00EF535A">
              <w:rPr>
                <w:rFonts w:ascii="Times New Roman" w:hAnsi="Times New Roman" w:cs="Times New Roman"/>
                <w:sz w:val="18"/>
                <w:szCs w:val="18"/>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R2 (drogi o prędkości dopuszczalnej &lt; 100 km/h)</w:t>
            </w:r>
          </w:p>
        </w:tc>
        <w:tc>
          <w:tcPr>
            <w:tcW w:w="113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99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100</w:t>
            </w:r>
          </w:p>
        </w:tc>
      </w:tr>
      <w:tr w:rsidR="00E847A6" w:rsidRPr="00EF535A" w:rsidTr="007E50B3">
        <w:trPr>
          <w:trHeight w:val="695"/>
        </w:trPr>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ind w:left="113"/>
              <w:rPr>
                <w:rFonts w:ascii="Times New Roman" w:hAnsi="Times New Roman" w:cs="Times New Roman"/>
                <w:sz w:val="18"/>
                <w:szCs w:val="18"/>
              </w:rPr>
            </w:pPr>
            <w:r w:rsidRPr="00EF535A">
              <w:rPr>
                <w:rFonts w:ascii="Times New Roman" w:hAnsi="Times New Roman" w:cs="Times New Roman"/>
                <w:sz w:val="18"/>
                <w:szCs w:val="18"/>
                <w:lang w:val="en-GB"/>
              </w:rPr>
              <w:t>4</w:t>
            </w:r>
          </w:p>
        </w:tc>
        <w:tc>
          <w:tcPr>
            <w:tcW w:w="623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oznakowania strukturalnego w stanie nowym wilgotnego (od 7 dnia do 30 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RW3 (drogi o prędkości dopuszczalnej </w:t>
            </w:r>
            <w:r w:rsidRPr="00EF535A">
              <w:rPr>
                <w:rFonts w:ascii="Times New Roman" w:hAnsi="Times New Roman" w:cs="Times New Roman"/>
                <w:sz w:val="18"/>
                <w:szCs w:val="18"/>
                <w:lang w:val="en-US"/>
              </w:rPr>
              <w:t>³</w:t>
            </w:r>
            <w:r w:rsidRPr="00EF535A">
              <w:rPr>
                <w:rFonts w:ascii="Times New Roman" w:hAnsi="Times New Roman" w:cs="Times New Roman"/>
                <w:sz w:val="18"/>
                <w:szCs w:val="18"/>
              </w:rPr>
              <w:t> 100 km/h</w:t>
            </w:r>
            <w:r w:rsidRPr="00EF535A">
              <w:rPr>
                <w:rFonts w:ascii="Times New Roman" w:hAnsi="Times New Roman" w:cs="Times New Roman"/>
                <w:sz w:val="18"/>
                <w:szCs w:val="18"/>
                <w:vertAlign w:val="superscript"/>
              </w:rPr>
              <w:t>*</w:t>
            </w:r>
            <w:r w:rsidRPr="00EF535A">
              <w:rPr>
                <w:rFonts w:ascii="Times New Roman" w:hAnsi="Times New Roman" w:cs="Times New Roman"/>
                <w:sz w:val="18"/>
                <w:szCs w:val="18"/>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RW2 (drogi o prędkości dopuszczalnej &lt; 100 km/h)</w:t>
            </w:r>
          </w:p>
        </w:tc>
        <w:tc>
          <w:tcPr>
            <w:tcW w:w="113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99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35</w:t>
            </w:r>
          </w:p>
        </w:tc>
      </w:tr>
      <w:tr w:rsidR="00E847A6" w:rsidRPr="00EF535A" w:rsidTr="007E50B3">
        <w:trPr>
          <w:trHeight w:val="695"/>
        </w:trPr>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ind w:left="113"/>
              <w:rPr>
                <w:rFonts w:ascii="Times New Roman" w:hAnsi="Times New Roman" w:cs="Times New Roman"/>
                <w:sz w:val="18"/>
                <w:szCs w:val="18"/>
              </w:rPr>
            </w:pPr>
            <w:r w:rsidRPr="00EF535A">
              <w:rPr>
                <w:rFonts w:ascii="Times New Roman" w:hAnsi="Times New Roman" w:cs="Times New Roman"/>
                <w:sz w:val="18"/>
                <w:szCs w:val="18"/>
                <w:lang w:val="en-GB"/>
              </w:rPr>
              <w:t>5</w:t>
            </w:r>
          </w:p>
        </w:tc>
        <w:tc>
          <w:tcPr>
            <w:tcW w:w="623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oznakowania strukturalnego w stanie wilgotnym od 31 dnia eksploatacji: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RW2 (drogi o prędkości dopuszczalnej </w:t>
            </w:r>
            <w:r w:rsidRPr="00EF535A">
              <w:rPr>
                <w:rFonts w:ascii="Times New Roman" w:hAnsi="Times New Roman" w:cs="Times New Roman"/>
                <w:sz w:val="18"/>
                <w:szCs w:val="18"/>
                <w:lang w:val="en-US"/>
              </w:rPr>
              <w:t>³</w:t>
            </w:r>
            <w:r w:rsidRPr="00EF535A">
              <w:rPr>
                <w:rFonts w:ascii="Times New Roman" w:hAnsi="Times New Roman" w:cs="Times New Roman"/>
                <w:sz w:val="18"/>
                <w:szCs w:val="18"/>
              </w:rPr>
              <w:t> 100 km/h</w:t>
            </w:r>
            <w:r w:rsidRPr="00EF535A">
              <w:rPr>
                <w:rFonts w:ascii="Times New Roman" w:hAnsi="Times New Roman" w:cs="Times New Roman"/>
                <w:sz w:val="18"/>
                <w:szCs w:val="18"/>
                <w:vertAlign w:val="superscript"/>
              </w:rPr>
              <w:t>*</w:t>
            </w:r>
            <w:r w:rsidRPr="00EF535A">
              <w:rPr>
                <w:rFonts w:ascii="Times New Roman" w:hAnsi="Times New Roman" w:cs="Times New Roman"/>
                <w:sz w:val="18"/>
                <w:szCs w:val="18"/>
              </w:rPr>
              <w:t>)</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RW1 (drogi o prędkości dopuszczalnej &lt; 100 km/h)</w:t>
            </w:r>
          </w:p>
        </w:tc>
        <w:tc>
          <w:tcPr>
            <w:tcW w:w="113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99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25</w:t>
            </w:r>
          </w:p>
        </w:tc>
      </w:tr>
      <w:tr w:rsidR="00E847A6" w:rsidRPr="00EF535A" w:rsidTr="007E50B3">
        <w:trPr>
          <w:trHeight w:val="1158"/>
        </w:trPr>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ind w:left="113"/>
              <w:rPr>
                <w:rFonts w:ascii="Times New Roman" w:hAnsi="Times New Roman" w:cs="Times New Roman"/>
                <w:sz w:val="18"/>
                <w:szCs w:val="18"/>
              </w:rPr>
            </w:pPr>
            <w:r w:rsidRPr="00EF535A">
              <w:rPr>
                <w:rFonts w:ascii="Times New Roman" w:hAnsi="Times New Roman" w:cs="Times New Roman"/>
                <w:sz w:val="18"/>
                <w:szCs w:val="18"/>
                <w:lang w:val="en-GB"/>
              </w:rPr>
              <w:t>6</w:t>
            </w:r>
          </w:p>
        </w:tc>
        <w:tc>
          <w:tcPr>
            <w:tcW w:w="623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oznakowania nowego wykonanego taśmami: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na sucho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R5</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 stanie wilgotnym (tylko typ II)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RW4</w:t>
            </w:r>
          </w:p>
        </w:tc>
        <w:tc>
          <w:tcPr>
            <w:tcW w:w="113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99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75</w:t>
            </w:r>
          </w:p>
        </w:tc>
      </w:tr>
      <w:tr w:rsidR="00E847A6" w:rsidRPr="00EF535A" w:rsidTr="007E50B3">
        <w:trPr>
          <w:trHeight w:val="695"/>
        </w:trPr>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ind w:left="113"/>
              <w:rPr>
                <w:rFonts w:ascii="Times New Roman" w:hAnsi="Times New Roman" w:cs="Times New Roman"/>
                <w:sz w:val="18"/>
                <w:szCs w:val="18"/>
              </w:rPr>
            </w:pPr>
            <w:r w:rsidRPr="00EF535A">
              <w:rPr>
                <w:rFonts w:ascii="Times New Roman" w:hAnsi="Times New Roman" w:cs="Times New Roman"/>
                <w:sz w:val="18"/>
                <w:szCs w:val="18"/>
                <w:lang w:val="en-GB"/>
              </w:rPr>
              <w:t>7</w:t>
            </w:r>
          </w:p>
        </w:tc>
        <w:tc>
          <w:tcPr>
            <w:tcW w:w="623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oznakowania od 31 dnia eksploatacji wykonanego taśmami: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na sucho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 stanie wilgotnym (tylko typ II)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RW2</w:t>
            </w:r>
          </w:p>
        </w:tc>
        <w:tc>
          <w:tcPr>
            <w:tcW w:w="113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99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35</w:t>
            </w:r>
          </w:p>
        </w:tc>
      </w:tr>
      <w:tr w:rsidR="00E847A6" w:rsidRPr="00EF535A" w:rsidTr="007E50B3">
        <w:trPr>
          <w:trHeight w:val="695"/>
        </w:trPr>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ind w:left="113"/>
              <w:rPr>
                <w:rFonts w:ascii="Times New Roman" w:hAnsi="Times New Roman" w:cs="Times New Roman"/>
                <w:sz w:val="18"/>
                <w:szCs w:val="18"/>
              </w:rPr>
            </w:pPr>
            <w:r w:rsidRPr="00EF535A">
              <w:rPr>
                <w:rFonts w:ascii="Times New Roman" w:hAnsi="Times New Roman" w:cs="Times New Roman"/>
                <w:sz w:val="18"/>
                <w:szCs w:val="18"/>
                <w:lang w:val="en-GB"/>
              </w:rPr>
              <w:t>8</w:t>
            </w:r>
          </w:p>
        </w:tc>
        <w:tc>
          <w:tcPr>
            <w:tcW w:w="623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oznakowania tymczasowego żółtego (typ I </w:t>
            </w:r>
            <w:r w:rsidRPr="00EF535A">
              <w:rPr>
                <w:rStyle w:val="spelle"/>
                <w:rFonts w:ascii="Times New Roman" w:hAnsi="Times New Roman" w:cs="Times New Roman"/>
                <w:sz w:val="18"/>
                <w:szCs w:val="18"/>
              </w:rPr>
              <w:t>i</w:t>
            </w:r>
            <w:r w:rsidRPr="00EF535A">
              <w:rPr>
                <w:rFonts w:ascii="Times New Roman" w:hAnsi="Times New Roman" w:cs="Times New Roman"/>
                <w:sz w:val="18"/>
                <w:szCs w:val="18"/>
              </w:rPr>
              <w:t> II)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do 90 dnia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od 91 do 120 dnia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po 120 dniach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R2</w:t>
            </w:r>
          </w:p>
        </w:tc>
        <w:tc>
          <w:tcPr>
            <w:tcW w:w="113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99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200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100</w:t>
            </w:r>
          </w:p>
        </w:tc>
      </w:tr>
      <w:tr w:rsidR="00E847A6" w:rsidRPr="00EF535A" w:rsidTr="007E50B3">
        <w:trPr>
          <w:trHeight w:val="695"/>
        </w:trPr>
        <w:tc>
          <w:tcPr>
            <w:tcW w:w="496" w:type="dxa"/>
            <w:tcBorders>
              <w:top w:val="nil"/>
              <w:left w:val="single" w:sz="8" w:space="0" w:color="auto"/>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ind w:left="113"/>
              <w:rPr>
                <w:rFonts w:ascii="Times New Roman" w:hAnsi="Times New Roman" w:cs="Times New Roman"/>
                <w:sz w:val="18"/>
                <w:szCs w:val="18"/>
              </w:rPr>
            </w:pPr>
            <w:r w:rsidRPr="00EF535A">
              <w:rPr>
                <w:rFonts w:ascii="Times New Roman" w:hAnsi="Times New Roman" w:cs="Times New Roman"/>
                <w:sz w:val="18"/>
                <w:szCs w:val="18"/>
                <w:lang w:val="en-GB"/>
              </w:rPr>
              <w:t>9</w:t>
            </w:r>
          </w:p>
        </w:tc>
        <w:tc>
          <w:tcPr>
            <w:tcW w:w="6237"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oznakowania tymczasowego żółtego wilgotnego strukturalnego (typ II)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do 90 dnia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RW3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od 91 do 120 dnia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RW2</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po 120 dniach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RW1</w:t>
            </w:r>
          </w:p>
        </w:tc>
        <w:tc>
          <w:tcPr>
            <w:tcW w:w="1134"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de-DE"/>
              </w:rPr>
              <w:t> </w:t>
            </w:r>
          </w:p>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lang w:val="de-DE"/>
              </w:rPr>
              <w:t>mcd</w:t>
            </w:r>
            <w:r w:rsidRPr="00EF535A">
              <w:rPr>
                <w:rFonts w:ascii="Times New Roman" w:hAnsi="Times New Roman" w:cs="Times New Roman"/>
                <w:sz w:val="18"/>
                <w:szCs w:val="18"/>
                <w:lang w:val="de-DE"/>
              </w:rPr>
              <w:t>/m</w:t>
            </w:r>
            <w:r w:rsidRPr="00EF535A">
              <w:rPr>
                <w:rFonts w:ascii="Times New Roman" w:hAnsi="Times New Roman" w:cs="Times New Roman"/>
                <w:sz w:val="18"/>
                <w:szCs w:val="18"/>
                <w:vertAlign w:val="superscript"/>
                <w:lang w:val="de-DE"/>
              </w:rPr>
              <w:t>2</w:t>
            </w:r>
            <w:r w:rsidRPr="00EF535A">
              <w:rPr>
                <w:rFonts w:ascii="Times New Roman" w:hAnsi="Times New Roman" w:cs="Times New Roman"/>
                <w:sz w:val="18"/>
                <w:szCs w:val="18"/>
                <w:lang w:val="de-DE"/>
              </w:rPr>
              <w:t>lx</w:t>
            </w:r>
          </w:p>
        </w:tc>
        <w:tc>
          <w:tcPr>
            <w:tcW w:w="992" w:type="dxa"/>
            <w:tcBorders>
              <w:top w:val="nil"/>
              <w:left w:val="nil"/>
              <w:bottom w:val="single" w:sz="8" w:space="0" w:color="auto"/>
              <w:right w:val="single" w:sz="8" w:space="0" w:color="auto"/>
            </w:tcBorders>
            <w:shd w:val="clear" w:color="auto" w:fill="EAEAEA"/>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25</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vertAlign w:val="superscript"/>
        </w:rPr>
        <w:t>*</w:t>
      </w:r>
      <w:r w:rsidRPr="007078D3">
        <w:rPr>
          <w:rFonts w:ascii="Times New Roman" w:hAnsi="Times New Roman" w:cs="Times New Roman"/>
          <w:color w:val="000000"/>
          <w:szCs w:val="20"/>
        </w:rPr>
        <w:t> a także o natężeniu ruchu &gt; 2500 pojazdów rzeczywistych na dobę na pas</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Wymaganie widoczności w nocy nie obowiązuje dla oznakowań na oświetlonych drogach miejskich.</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Na nawierzchniach o grubej makroteksturze, takich jak: powierzchniowe utrwalanie, SMA oraz na nawierzchniach niejednorodnych można wyjątkowo dopuścić wartość współczynnika odblasku R</w:t>
      </w:r>
      <w:r w:rsidRPr="007078D3">
        <w:rPr>
          <w:rFonts w:ascii="Times New Roman" w:hAnsi="Times New Roman" w:cs="Times New Roman"/>
          <w:color w:val="000000"/>
          <w:szCs w:val="20"/>
          <w:vertAlign w:val="subscript"/>
        </w:rPr>
        <w:t>L</w:t>
      </w:r>
      <w:r w:rsidRPr="007078D3">
        <w:rPr>
          <w:rFonts w:ascii="Times New Roman" w:hAnsi="Times New Roman" w:cs="Times New Roman"/>
          <w:color w:val="000000"/>
          <w:szCs w:val="20"/>
        </w:rPr>
        <w:t> = 70 mcd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lx</w:t>
      </w:r>
      <w:r w:rsidRPr="007078D3">
        <w:rPr>
          <w:rFonts w:ascii="Times New Roman" w:hAnsi="Times New Roman" w:cs="Times New Roman"/>
          <w:color w:val="000000"/>
          <w:szCs w:val="20"/>
          <w:vertAlign w:val="superscript"/>
        </w:rPr>
        <w:t>-1</w:t>
      </w: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R1 dla oznakowania cienkowarstwowego eksploatowanego od 6 miesiąca po wykonaniu.</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 szczególnie uzasadnionych przypadkach możliwe jest ustalenie w ST wyższych klas wymagań wg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Wartość współczynnika R</w:t>
      </w:r>
      <w:r w:rsidRPr="007078D3">
        <w:rPr>
          <w:rFonts w:ascii="Times New Roman" w:hAnsi="Times New Roman" w:cs="Times New Roman"/>
          <w:color w:val="000000"/>
          <w:szCs w:val="20"/>
          <w:vertAlign w:val="subscript"/>
        </w:rPr>
        <w:t>L</w:t>
      </w:r>
      <w:r w:rsidRPr="007078D3">
        <w:rPr>
          <w:rFonts w:ascii="Times New Roman" w:hAnsi="Times New Roman" w:cs="Times New Roman"/>
          <w:color w:val="000000"/>
          <w:szCs w:val="20"/>
        </w:rPr>
        <w:t> powinna wynosić dla oznakowania profilowanego, nowego (w stanie wilgotnym) i eksploatowanego w okresie gwarancji wg PN-EN 1436:2012 [1] zmierzona od 14 do 30 dnia po wykonaniu, barwy:</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lastRenderedPageBreak/>
        <w:t>-      białej, co najmniej 50 mcd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lx</w:t>
      </w:r>
      <w:r w:rsidRPr="007078D3">
        <w:rPr>
          <w:rFonts w:ascii="Times New Roman" w:hAnsi="Times New Roman" w:cs="Times New Roman"/>
          <w:color w:val="000000"/>
          <w:szCs w:val="20"/>
          <w:vertAlign w:val="superscript"/>
        </w:rPr>
        <w:t>-1</w:t>
      </w: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w:t>
      </w:r>
      <w:r w:rsidRPr="007078D3">
        <w:rPr>
          <w:rFonts w:ascii="Times New Roman" w:hAnsi="Times New Roman" w:cs="Times New Roman"/>
          <w:color w:val="000000"/>
          <w:spacing w:val="-3"/>
          <w:szCs w:val="20"/>
        </w:rPr>
        <w:t>RW3</w:t>
      </w:r>
      <w:r w:rsidRPr="007078D3">
        <w:rPr>
          <w:rFonts w:ascii="Times New Roman" w:hAnsi="Times New Roman" w:cs="Times New Roman"/>
          <w:color w:val="000000"/>
          <w:szCs w:val="20"/>
        </w:rPr>
        <w:t>,</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 okresie eksploatacji, co najmniej 35 mcd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lx</w:t>
      </w:r>
      <w:r w:rsidRPr="007078D3">
        <w:rPr>
          <w:rFonts w:ascii="Times New Roman" w:hAnsi="Times New Roman" w:cs="Times New Roman"/>
          <w:color w:val="000000"/>
          <w:szCs w:val="20"/>
          <w:vertAlign w:val="superscript"/>
        </w:rPr>
        <w:t>-1</w:t>
      </w: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w:t>
      </w:r>
      <w:r w:rsidRPr="007078D3">
        <w:rPr>
          <w:rFonts w:ascii="Times New Roman" w:hAnsi="Times New Roman" w:cs="Times New Roman"/>
          <w:color w:val="000000"/>
          <w:spacing w:val="-3"/>
          <w:szCs w:val="20"/>
        </w:rPr>
        <w:t>RW2.</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Powyższe wymaganie dotyczy jedynie oznakowań profilowanych, takich jak oznakowanie strukturalne wykonywane masami termoplastycznymi, masami chemoutwardzalnymi i taśmami w postaci np. poprzecznych </w:t>
      </w:r>
      <w:r w:rsidRPr="007078D3">
        <w:rPr>
          <w:rStyle w:val="spelle"/>
          <w:rFonts w:ascii="Times New Roman" w:hAnsi="Times New Roman" w:cs="Times New Roman"/>
          <w:color w:val="000000"/>
          <w:szCs w:val="20"/>
        </w:rPr>
        <w:t>wygarbień</w:t>
      </w:r>
      <w:r w:rsidRPr="007078D3">
        <w:rPr>
          <w:rFonts w:ascii="Times New Roman" w:hAnsi="Times New Roman" w:cs="Times New Roman"/>
          <w:color w:val="000000"/>
          <w:szCs w:val="20"/>
        </w:rPr>
        <w:t> (baretek), </w:t>
      </w:r>
      <w:r w:rsidRPr="007078D3">
        <w:rPr>
          <w:rStyle w:val="spelle"/>
          <w:rFonts w:ascii="Times New Roman" w:hAnsi="Times New Roman" w:cs="Times New Roman"/>
          <w:color w:val="000000"/>
          <w:szCs w:val="20"/>
        </w:rPr>
        <w:t>Drop-on-line</w:t>
      </w: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MultiDotLine</w:t>
      </w: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Spotflex</w:t>
      </w: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Stamark</w:t>
      </w:r>
      <w:r w:rsidRPr="007078D3">
        <w:rPr>
          <w:rFonts w:ascii="Times New Roman" w:hAnsi="Times New Roman" w:cs="Times New Roman"/>
          <w:color w:val="000000"/>
          <w:szCs w:val="20"/>
        </w:rPr>
        <w:t> itp.</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Wykonywanie pomiarów na oznakowaniu ciągłym z naniesionymi </w:t>
      </w:r>
      <w:r w:rsidRPr="007078D3">
        <w:rPr>
          <w:rStyle w:val="spelle"/>
          <w:rFonts w:ascii="Times New Roman" w:hAnsi="Times New Roman" w:cs="Times New Roman"/>
          <w:color w:val="000000"/>
          <w:szCs w:val="20"/>
        </w:rPr>
        <w:t>wygarbieniami</w:t>
      </w:r>
      <w:r w:rsidRPr="007078D3">
        <w:rPr>
          <w:rFonts w:ascii="Times New Roman" w:hAnsi="Times New Roman" w:cs="Times New Roman"/>
          <w:color w:val="000000"/>
          <w:szCs w:val="20"/>
        </w:rPr>
        <w:t> może być wykonywane tylko metoda dynamiczną. Pomiar aparatami ręcznymi jest albo niemożliwy albo obciążony dużym błędem.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Wykonywanie pomiarów odblaskowości na pozostałych typach oznakowania strukturalnego, z uwagi na jego niecałkowite i niejednorodne pokrycie powierzchni oznakowania, jest obarczone większym błędem niż na oznakowaniach pełnych. Dlatego podczas odbioru czy kontroli, należy przyjąć jako dopuszczalne wartości współczynnika odblasku o 20% niższe od przyjętych w ST.</w:t>
      </w:r>
    </w:p>
    <w:p w:rsidR="00E847A6" w:rsidRPr="007078D3" w:rsidRDefault="00E847A6" w:rsidP="00E847A6">
      <w:pPr>
        <w:pStyle w:val="Stopka"/>
        <w:rPr>
          <w:rFonts w:ascii="Times New Roman" w:hAnsi="Times New Roman" w:cs="Times New Roman"/>
          <w:color w:val="000000"/>
          <w:szCs w:val="20"/>
        </w:rPr>
      </w:pPr>
      <w:r w:rsidRPr="007078D3">
        <w:rPr>
          <w:rFonts w:ascii="Times New Roman" w:hAnsi="Times New Roman" w:cs="Times New Roman"/>
          <w:color w:val="000000"/>
          <w:szCs w:val="20"/>
        </w:rPr>
        <w:t>6.4.1.4. Szorstkość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Miarą szorstkości oznakowania jest wartość wskaźnika szorstkości SRT (</w:t>
      </w:r>
      <w:r w:rsidRPr="007078D3">
        <w:rPr>
          <w:rStyle w:val="spelle"/>
          <w:rFonts w:ascii="Times New Roman" w:hAnsi="Times New Roman" w:cs="Times New Roman"/>
          <w:color w:val="000000"/>
          <w:szCs w:val="20"/>
        </w:rPr>
        <w:t>Skid</w:t>
      </w: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Resistance</w:t>
      </w:r>
      <w:r w:rsidRPr="007078D3">
        <w:rPr>
          <w:rFonts w:ascii="Times New Roman" w:hAnsi="Times New Roman" w:cs="Times New Roman"/>
          <w:color w:val="000000"/>
          <w:szCs w:val="20"/>
        </w:rPr>
        <w:t> Tester) mierzona wahadłem angielskim, wg PN-EN 13036-4:2011 [9].</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Ze względu na wartość wskaźnika szorstkości SRT poziome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dzielimy na klasy podane w tablicy 15.</w:t>
      </w:r>
    </w:p>
    <w:p w:rsidR="00E847A6" w:rsidRPr="007078D3" w:rsidRDefault="00E847A6" w:rsidP="00E847A6">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Tablica 15.  Klasy oznakowania drogowego ze względu na wartość wskaźnika szorstkości SRT [1]</w:t>
      </w:r>
    </w:p>
    <w:tbl>
      <w:tblPr>
        <w:tblW w:w="0" w:type="auto"/>
        <w:shd w:val="clear" w:color="auto" w:fill="EAEAEA"/>
        <w:tblCellMar>
          <w:left w:w="0" w:type="dxa"/>
          <w:right w:w="0" w:type="dxa"/>
        </w:tblCellMar>
        <w:tblLook w:val="04A0"/>
      </w:tblPr>
      <w:tblGrid>
        <w:gridCol w:w="2727"/>
        <w:gridCol w:w="1608"/>
        <w:gridCol w:w="857"/>
        <w:gridCol w:w="857"/>
        <w:gridCol w:w="857"/>
        <w:gridCol w:w="857"/>
        <w:gridCol w:w="857"/>
      </w:tblGrid>
      <w:tr w:rsidR="00E847A6" w:rsidRPr="00EF535A" w:rsidTr="007E50B3">
        <w:tc>
          <w:tcPr>
            <w:tcW w:w="2727" w:type="dxa"/>
            <w:tcBorders>
              <w:top w:val="single" w:sz="8" w:space="0" w:color="auto"/>
              <w:left w:val="single" w:sz="8" w:space="0" w:color="auto"/>
              <w:bottom w:val="double" w:sz="4"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w:t>
            </w:r>
          </w:p>
        </w:tc>
        <w:tc>
          <w:tcPr>
            <w:tcW w:w="1608" w:type="dxa"/>
            <w:tcBorders>
              <w:top w:val="single" w:sz="8" w:space="0" w:color="auto"/>
              <w:left w:val="single" w:sz="8" w:space="0" w:color="auto"/>
              <w:bottom w:val="double" w:sz="4"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S0</w:t>
            </w:r>
          </w:p>
        </w:tc>
        <w:tc>
          <w:tcPr>
            <w:tcW w:w="857" w:type="dxa"/>
            <w:tcBorders>
              <w:top w:val="single" w:sz="8" w:space="0" w:color="auto"/>
              <w:left w:val="nil"/>
              <w:bottom w:val="double" w:sz="4"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S1</w:t>
            </w:r>
          </w:p>
        </w:tc>
        <w:tc>
          <w:tcPr>
            <w:tcW w:w="857" w:type="dxa"/>
            <w:tcBorders>
              <w:top w:val="single" w:sz="8" w:space="0" w:color="auto"/>
              <w:left w:val="nil"/>
              <w:bottom w:val="double" w:sz="4"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S2</w:t>
            </w:r>
          </w:p>
        </w:tc>
        <w:tc>
          <w:tcPr>
            <w:tcW w:w="857" w:type="dxa"/>
            <w:tcBorders>
              <w:top w:val="single" w:sz="8" w:space="0" w:color="auto"/>
              <w:left w:val="nil"/>
              <w:bottom w:val="double" w:sz="4"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S3</w:t>
            </w:r>
          </w:p>
        </w:tc>
        <w:tc>
          <w:tcPr>
            <w:tcW w:w="857" w:type="dxa"/>
            <w:tcBorders>
              <w:top w:val="single" w:sz="8" w:space="0" w:color="auto"/>
              <w:left w:val="nil"/>
              <w:bottom w:val="double" w:sz="4"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S4</w:t>
            </w:r>
          </w:p>
        </w:tc>
        <w:tc>
          <w:tcPr>
            <w:tcW w:w="857" w:type="dxa"/>
            <w:tcBorders>
              <w:top w:val="single" w:sz="8" w:space="0" w:color="auto"/>
              <w:left w:val="nil"/>
              <w:bottom w:val="double" w:sz="4"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S5</w:t>
            </w:r>
          </w:p>
        </w:tc>
      </w:tr>
      <w:tr w:rsidR="00E847A6" w:rsidRPr="00EF535A" w:rsidTr="007E50B3">
        <w:trPr>
          <w:trHeight w:val="345"/>
        </w:trPr>
        <w:tc>
          <w:tcPr>
            <w:tcW w:w="2727" w:type="dxa"/>
            <w:tcBorders>
              <w:top w:val="nil"/>
              <w:left w:val="single" w:sz="8" w:space="0" w:color="auto"/>
              <w:bottom w:val="single" w:sz="8" w:space="0" w:color="auto"/>
              <w:right w:val="nil"/>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Wartość wskaźnika SRT</w:t>
            </w:r>
          </w:p>
        </w:tc>
        <w:tc>
          <w:tcPr>
            <w:tcW w:w="1608" w:type="dxa"/>
            <w:tcBorders>
              <w:top w:val="nil"/>
              <w:left w:val="single" w:sz="8" w:space="0" w:color="auto"/>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brak wymagania</w:t>
            </w:r>
          </w:p>
        </w:tc>
        <w:tc>
          <w:tcPr>
            <w:tcW w:w="857" w:type="dxa"/>
            <w:tcBorders>
              <w:top w:val="nil"/>
              <w:left w:val="nil"/>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45</w:t>
            </w:r>
          </w:p>
        </w:tc>
        <w:tc>
          <w:tcPr>
            <w:tcW w:w="857" w:type="dxa"/>
            <w:tcBorders>
              <w:top w:val="nil"/>
              <w:left w:val="nil"/>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50</w:t>
            </w:r>
          </w:p>
        </w:tc>
        <w:tc>
          <w:tcPr>
            <w:tcW w:w="857" w:type="dxa"/>
            <w:tcBorders>
              <w:top w:val="nil"/>
              <w:left w:val="nil"/>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55</w:t>
            </w:r>
          </w:p>
        </w:tc>
        <w:tc>
          <w:tcPr>
            <w:tcW w:w="857" w:type="dxa"/>
            <w:tcBorders>
              <w:top w:val="nil"/>
              <w:left w:val="nil"/>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60</w:t>
            </w:r>
          </w:p>
        </w:tc>
        <w:tc>
          <w:tcPr>
            <w:tcW w:w="857" w:type="dxa"/>
            <w:tcBorders>
              <w:top w:val="nil"/>
              <w:left w:val="nil"/>
              <w:bottom w:val="single" w:sz="8" w:space="0" w:color="auto"/>
              <w:right w:val="single" w:sz="8" w:space="0" w:color="auto"/>
            </w:tcBorders>
            <w:shd w:val="clear" w:color="auto" w:fill="EAEAEA"/>
            <w:noWrap/>
            <w:tcMar>
              <w:top w:w="0" w:type="dxa"/>
              <w:left w:w="138" w:type="dxa"/>
              <w:bottom w:w="0" w:type="dxa"/>
              <w:right w:w="13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65</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Wymagane wartości wskaźnika szorstkości SRT w ciągu całego okresu użytkowania  oznakowania, a w badaniach laboratoryjnych w przypadku próbki wykonanej na podłożu sztywnym i gładkim, bez posypania kulkami szklanymi podano w tablicy 16.</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16. Wymagania odnośnie wskaźnika szorstkości SRT [17]</w:t>
      </w:r>
    </w:p>
    <w:tbl>
      <w:tblPr>
        <w:tblW w:w="0" w:type="auto"/>
        <w:tblInd w:w="108" w:type="dxa"/>
        <w:shd w:val="clear" w:color="auto" w:fill="EAEAEA"/>
        <w:tblCellMar>
          <w:left w:w="0" w:type="dxa"/>
          <w:right w:w="0" w:type="dxa"/>
        </w:tblCellMar>
        <w:tblLook w:val="04A0"/>
      </w:tblPr>
      <w:tblGrid>
        <w:gridCol w:w="5481"/>
        <w:gridCol w:w="1465"/>
        <w:gridCol w:w="1701"/>
      </w:tblGrid>
      <w:tr w:rsidR="00E847A6" w:rsidRPr="00EF535A" w:rsidTr="007E50B3">
        <w:tc>
          <w:tcPr>
            <w:tcW w:w="5481" w:type="dxa"/>
            <w:tcBorders>
              <w:top w:val="single" w:sz="8" w:space="0" w:color="000000"/>
              <w:left w:val="single" w:sz="8" w:space="0" w:color="000000"/>
              <w:bottom w:val="double" w:sz="4" w:space="0" w:color="auto"/>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Rodzaj powłoki</w:t>
            </w:r>
          </w:p>
        </w:tc>
        <w:tc>
          <w:tcPr>
            <w:tcW w:w="1465" w:type="dxa"/>
            <w:tcBorders>
              <w:top w:val="single" w:sz="8" w:space="0" w:color="000000"/>
              <w:left w:val="nil"/>
              <w:bottom w:val="double" w:sz="4" w:space="0" w:color="auto"/>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Jednostka</w:t>
            </w:r>
          </w:p>
        </w:tc>
        <w:tc>
          <w:tcPr>
            <w:tcW w:w="1701" w:type="dxa"/>
            <w:tcBorders>
              <w:top w:val="single" w:sz="8" w:space="0" w:color="000000"/>
              <w:left w:val="nil"/>
              <w:bottom w:val="double" w:sz="4" w:space="0" w:color="auto"/>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Wymaganie</w:t>
            </w:r>
          </w:p>
        </w:tc>
      </w:tr>
      <w:tr w:rsidR="00E847A6" w:rsidRPr="00EF535A" w:rsidTr="007E50B3">
        <w:tc>
          <w:tcPr>
            <w:tcW w:w="5481"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Oznakowanie nawierzchni drogi w ciągu całego okresu eksploatacji</w:t>
            </w:r>
          </w:p>
        </w:tc>
        <w:tc>
          <w:tcPr>
            <w:tcW w:w="1465"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SRT</w:t>
            </w:r>
          </w:p>
        </w:tc>
        <w:tc>
          <w:tcPr>
            <w:tcW w:w="1701"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GB"/>
              </w:rPr>
              <w:t>³</w:t>
            </w:r>
            <w:r w:rsidRPr="00EF535A">
              <w:rPr>
                <w:rFonts w:ascii="Times New Roman" w:hAnsi="Times New Roman" w:cs="Times New Roman"/>
                <w:sz w:val="18"/>
                <w:szCs w:val="18"/>
              </w:rPr>
              <w:t> 45*</w:t>
            </w:r>
          </w:p>
        </w:tc>
      </w:tr>
      <w:tr w:rsidR="00E847A6" w:rsidRPr="00EF535A" w:rsidTr="007E50B3">
        <w:tc>
          <w:tcPr>
            <w:tcW w:w="5481"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Wymalowanie farbą na próbce laboratoryjnej na podłożu gładkim bez posypania kulkami szklanymi</w:t>
            </w:r>
          </w:p>
        </w:tc>
        <w:tc>
          <w:tcPr>
            <w:tcW w:w="1465"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SRT</w:t>
            </w:r>
          </w:p>
        </w:tc>
        <w:tc>
          <w:tcPr>
            <w:tcW w:w="1701"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lang w:val="en-GB"/>
              </w:rPr>
              <w:t>³ 30</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wartość SRT = 45 jest warunkowa w przypadku oznakowań profilowanych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Wartość SRT symuluje warunki, w których pojazd wyposażony w typowe opony hamuje z blokadą kół przy prędkości 50 km/h na mokrej nawierzchni.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Dopuszcza się podwyższenie w ST wymagania szorstkości z wymaganej wartości minimalnej 45 do 50 – 60 jednostek SRT (klasy S2 – S3), w uzasadnionych przypadkach. Uzyskanie większej szorstkości oznakowania, wiąże się z zastosowaniem kruszywa przeciwpoślizgowego samego lub w mieszaninie z kulkami szklanymi wg PN-EN 1423:2012 [3]. Należy przy tym wziąć pod uwagę jednoczesne obniżenie wartości współczynnika luminancji i współczynnika odblasku.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Szorstkość oznakowania, na którym nie zastosowano kruszywa przeciwpoślizgowego, zazwyczaj wzrasta w okresie eksploatacji oznakowania, dlatego nie należy wymagać wyższej jego wartości na starcie, a niższej w okresie gwarancji.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Wykonywanie pomiarów wskaźnika szorstkości SRT dotyczy oznakowań jednolitych, płaskich, wykonanych farbami, masami termoplastycznymi, masami chemoutwardzalnymi i taśmami. Pomiar na oznakowaniu strukturalnym jest, jeśli możliwy, to nie miarodajny. W przypadku oznakowania z </w:t>
      </w:r>
      <w:r w:rsidRPr="007078D3">
        <w:rPr>
          <w:rStyle w:val="spelle"/>
          <w:rFonts w:ascii="Times New Roman" w:hAnsi="Times New Roman" w:cs="Times New Roman"/>
          <w:color w:val="000000"/>
          <w:szCs w:val="20"/>
        </w:rPr>
        <w:t>wygarbieniami</w:t>
      </w:r>
      <w:r w:rsidRPr="007078D3">
        <w:rPr>
          <w:rFonts w:ascii="Times New Roman" w:hAnsi="Times New Roman" w:cs="Times New Roman"/>
          <w:color w:val="000000"/>
          <w:szCs w:val="20"/>
        </w:rPr>
        <w:t> i punktowymi elementami odblaskowymi pomiar nie jest możliwy.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6.4.1.5. Trwałość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Trwałość oznakowania cienkowarstwowego oceniana jako stopień zużycia w 10-stopniowej skali LCPC określonej w POD-97 [19] lub Vademecum [17] powinna wynosić po 12-miesięcznym okresie eksploatacji oznakowania: co najmniej 6.</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Taka metoda oceny znajduje szczególnie zastosowanie do oceny przydatności materiałów do cienkowarstwowego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stosunku do materiałów grubowarstwowych i taśm ocena ta jest stosowana dopiero po 2, 3, 4, 5 i 6 latach, gdy w oznakowaniu pojawiają się przetarcia do nawierzchni. Do oceny materiałów strukturalnych, o nieciągłym pokryciu nawierzchni metody tej nie stosuje się.</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Ponieważ nie ma uzgodnionej w EU metody oznaczania trwałości jest oceniana w celach kontrolnych pośrednio przez sprawdzenie spełniania wymagań widoczności w dzień, w nocy i szorstkości.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6.4.1.6. Czas schnięcia oznakowania (względnie czas do przejezdności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Za czas schnięcia oznakowania przyjmuje się czas upływający między wykonaniem oznakowania a jego oddaniem do ruchu. Czas schnięcia w warunkach drogowych zależy od wielu parametrów, jak np. od temperatury nawierzchni i powietrza, rodzaju nawierzchni, prędkości wiatru, wilgotności względnej powietrza i innych. Klasy czasu schnięcia wyrobów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przedstawiono w tablicy 2.</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Czas schnięcia oznakowania nie powinien przekraczać czasu gwarantowanego przez producenta, z tym że nie może przekraczać klasy DT5. Dopuszcza się wydłużenie czasu schnięcia do 2 godzin w przypadku wymalowań nocnych Opis metod oznaczania czasu schnięcia znajduje się w PN-EN 1436 [1] lub w Vademecum [17].</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6.4.1.7. Grubość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Grubość wykonanych oznakowań, tj. podwyższenie ponad górną powierzchnię nawierzchni, zależy od rodzaju zastosowanego materiału. W przypadku farb różnica grubości warstwy na mokro znacznie różni się od pozostałej warstwy suchej.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Grubość oznakowania wykonanego farbą (zmierzona grzebieniem pomiarowym na próbce z blachy) powinna wynosić na mokro bez posypania kulkami szklanymi, co najmniej: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- 0,3 mm - oznakowania typu 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- 0,4 mm - systemy z dwukrotnym nakładaniem materiału.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Grubość warstwy pozostałej po wyschnięciu farby jest w przybliżeniu mniejsza o 40% od grubości zmierzonej na mokro, a producent powinien w karcie technicznej wyrobu podać tę wartość. Ocena grubości warstwy na starych zdeformowanych, spękanych, naprawianych nawierzchniach jest nieobowiązująca.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Na nowych nawierzchniach o grubej teksturze, takich jak: SMA, asfalt porowaty, powierzchniowe utrwalenie, beton wymywany konieczne jest wykonanie podwójnej warstwy wymalowania. Oznakowanie takie powinno być wykonane w dwóch przejściach </w:t>
      </w:r>
      <w:r w:rsidRPr="007078D3">
        <w:rPr>
          <w:rStyle w:val="spelle"/>
          <w:rFonts w:ascii="Times New Roman" w:hAnsi="Times New Roman" w:cs="Times New Roman"/>
          <w:color w:val="000000"/>
          <w:szCs w:val="20"/>
        </w:rPr>
        <w:t>malowarki</w:t>
      </w:r>
      <w:r w:rsidRPr="007078D3">
        <w:rPr>
          <w:rFonts w:ascii="Times New Roman" w:hAnsi="Times New Roman" w:cs="Times New Roman"/>
          <w:color w:val="000000"/>
          <w:szCs w:val="20"/>
        </w:rPr>
        <w:t>, z tym zastrzeżeniem żeby drugie przejście zostało wykonane w kierunku ruchu. W obu przejściach należy posypać oznakowanie kulkami szklanymi.  W przypadku powtórnego malowania usuniętych starych oznakowań należy ocenić wizualnie, czy pojedyncze malowanie będzie wystarczające.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Grubość oznakowania wykonanego masą chemoutwardzalną lub termoplastyczną techniką nakładania, powinno wynosić bez posypania kulkami szklanymi (zmierzona na płaskim podłożu np. z blachy) co najmniej: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- 0,9 mm oznakowania typu 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- 2,0 mm pozostałe oznakowanie typu II.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Grubość oznakowania wykonanego masą termoplastyczną sposobem natryskowym powinna wynosić bez posypania kulkami szklanymi (zmierzona na płaskim podłożu np. z blachy), co najmniej: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- 0,6 mm oznakowania typu 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- 1,2 mm oznakowanie typu II.</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Kontrola grubości oznakowania jest istotna w przypadku, gdy Wykonawca nie udziela gwarancji lub gdy nie są wykonywane pomiary kontrolne za pomocą aparatury lub są wykonywane tylko przez ocenę wizualną.</w:t>
      </w:r>
    </w:p>
    <w:p w:rsidR="00E847A6" w:rsidRPr="007078D3" w:rsidRDefault="00E847A6" w:rsidP="00E847A6">
      <w:pPr>
        <w:ind w:left="709" w:hanging="709"/>
        <w:rPr>
          <w:rFonts w:ascii="Times New Roman" w:hAnsi="Times New Roman" w:cs="Times New Roman"/>
          <w:color w:val="000000"/>
          <w:szCs w:val="20"/>
        </w:rPr>
      </w:pPr>
      <w:r w:rsidRPr="007078D3">
        <w:rPr>
          <w:rFonts w:ascii="Times New Roman" w:hAnsi="Times New Roman" w:cs="Times New Roman"/>
          <w:b/>
          <w:bCs/>
          <w:color w:val="000000"/>
          <w:szCs w:val="20"/>
        </w:rPr>
        <w:t>6.4.2.   </w:t>
      </w:r>
      <w:r w:rsidRPr="007078D3">
        <w:rPr>
          <w:rFonts w:ascii="Times New Roman" w:hAnsi="Times New Roman" w:cs="Times New Roman"/>
          <w:color w:val="000000"/>
          <w:szCs w:val="20"/>
        </w:rPr>
        <w:t>Badania wykonania oznakowania poziomego z materiału cienko- średnio i grubowarstwowego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Wykonawca wykonując oznakowanie poziome z materiału cienko- średnio- lub grubowarstwowego przeprowadza przed rozpoczęciem każdej pracy oraz w czasie jej wykonywania, co najmniej raz dziennie lub zgodnie z ustaleniem ST, następujące badania: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a) przed rozpoczęciem pracy:</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sprawdzenie oznakowania opakowań,</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wizualną ocenę stanu  materiału, w zakresie jego jednorodności i widocznych wad,</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pomiar wilgotności względnej powietrza,</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pomiar temperatury powietrza i nawierzchni,</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badanie lepkości farby, wg Vademecum [17].</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b) w czasie wykonywania pracy:</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pomiar grubości warstwy oznakowania,</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pomiar czasu schnięcia, wg Vademecum [17],</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wizualną ocenę równomierności rozłożenia kulek szklanych podczas objazdu w nocy,</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pomiar wymiarów oznakowania poziomego, na zgodność z dokumentacją projektową i załącznikiem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2 do rozporządzenia Ministra Infrastruktury [11],</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wizualną ocenę równomierności skropienia (rozłożenia materiału) na całej szerokości linii,</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oznaczenia czasu przejezdności, wg Vademecum [17].</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Protokół z przeprowadzonych badań wraz z jedną próbką pobraną na drodze, jednoznacznie oznakowaną, na blasze (300 × 250 × 1,5 mm) Wykonawca powinien przechować do czasu upływu okresu gwarancji.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 odbioru i w przypadku wątpliwości dotyczących wykonania oznakowania poziomego, Inżynier może zlecić wykonanie badań:</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widzialności w nocy,</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widzialności w dzień,</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szorstkości,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odpowiadających wymaganiom podanym w punkcie 6.3.1 i wykonanych metodami określonymi w Vademecum [17] Jeżeli wyniki tych badań wykażą wadliwość wykonanego oznakowania to koszt badań ponosi Wykonawca, w przypadku przeciwnym - Zamawiający. Badania powinien zlecać Zamawiający do niezależnego laboratorium badawczego, co gwarantuje większa wiarygodność wyników.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konieczności wykonywania pomiarów na otwartych do ruchu odcinkach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o dopuszczalnej prędkości ³ 100 km/h należy ograniczyć je do linii krawędziowych zewnętrznych w przypadku wykonywania pomiarów aparatami ręcznymi, ze względu na bezpieczeństwo wykonujących pomiary.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Pomiary współczynnika odblasku na liniach segregacyjnych i krawędziowych wewnętrznych, na otwartych do ruchu odcinkach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o dopuszczalnej prędkości ³ 100 km/h , a także na liniach podłużnych oznakowań z </w:t>
      </w:r>
      <w:r w:rsidRPr="007078D3">
        <w:rPr>
          <w:rStyle w:val="spelle"/>
          <w:rFonts w:ascii="Times New Roman" w:hAnsi="Times New Roman" w:cs="Times New Roman"/>
          <w:color w:val="000000"/>
          <w:szCs w:val="20"/>
        </w:rPr>
        <w:t>wygarbieniami</w:t>
      </w:r>
      <w:r w:rsidRPr="007078D3">
        <w:rPr>
          <w:rFonts w:ascii="Times New Roman" w:hAnsi="Times New Roman" w:cs="Times New Roman"/>
          <w:color w:val="000000"/>
          <w:szCs w:val="20"/>
        </w:rPr>
        <w:t>, należy wykonywać przy użyciu mobilnego reflektometru zainstalowanego na samochodzie i wykonującego pomiary w ruchu.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wykonywania pomiarów współczynnika odblaskowości i współczynników luminancji aparatami ręcznymi częstotliwość pomiarów należy dostosować do długości badanego odcinka, zgodnie z tablicą 17. W każdym z mierzonych punktów należy wykonać po 5 odczytów współczynnika odblasku i po 3 odczyty współczynników luminancji w odległości jeden od drugiego minimum 1 m.</w:t>
      </w:r>
    </w:p>
    <w:p w:rsidR="00E847A6" w:rsidRPr="007078D3" w:rsidRDefault="00E847A6" w:rsidP="00E847A6">
      <w:pPr>
        <w:pStyle w:val="Tekstpodstawowywcity2"/>
        <w:spacing w:after="0" w:line="240" w:lineRule="auto"/>
        <w:ind w:left="1320" w:hanging="1320"/>
        <w:rPr>
          <w:rFonts w:ascii="Times New Roman" w:hAnsi="Times New Roman" w:cs="Times New Roman"/>
          <w:color w:val="000000"/>
          <w:szCs w:val="20"/>
        </w:rPr>
      </w:pPr>
      <w:r w:rsidRPr="007078D3">
        <w:rPr>
          <w:rFonts w:ascii="Times New Roman" w:hAnsi="Times New Roman" w:cs="Times New Roman"/>
          <w:color w:val="000000"/>
          <w:szCs w:val="20"/>
        </w:rPr>
        <w:t>Tablica 17.    Częstotliwość pomiarów współczynników odblaskowości i luminancji aparatami ręcznymi</w:t>
      </w:r>
    </w:p>
    <w:tbl>
      <w:tblPr>
        <w:tblW w:w="0" w:type="auto"/>
        <w:shd w:val="clear" w:color="auto" w:fill="EAEAEA"/>
        <w:tblCellMar>
          <w:left w:w="0" w:type="dxa"/>
          <w:right w:w="0" w:type="dxa"/>
        </w:tblCellMar>
        <w:tblLook w:val="04A0"/>
      </w:tblPr>
      <w:tblGrid>
        <w:gridCol w:w="567"/>
        <w:gridCol w:w="1995"/>
        <w:gridCol w:w="2470"/>
        <w:gridCol w:w="1842"/>
      </w:tblGrid>
      <w:tr w:rsidR="00E847A6" w:rsidRPr="00EF535A" w:rsidTr="007E50B3">
        <w:tc>
          <w:tcPr>
            <w:tcW w:w="567" w:type="dxa"/>
            <w:tcBorders>
              <w:top w:val="single" w:sz="8" w:space="0" w:color="auto"/>
              <w:left w:val="single" w:sz="8" w:space="0" w:color="auto"/>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1995"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Długość odcinka, km</w:t>
            </w:r>
          </w:p>
        </w:tc>
        <w:tc>
          <w:tcPr>
            <w:tcW w:w="2470"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Częstotliwość pomiarów, co najmniej</w:t>
            </w:r>
          </w:p>
        </w:tc>
        <w:tc>
          <w:tcPr>
            <w:tcW w:w="1842"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Minimalna ilość pomiarów</w:t>
            </w:r>
          </w:p>
        </w:tc>
      </w:tr>
      <w:tr w:rsidR="00E847A6" w:rsidRPr="00EF535A" w:rsidTr="007E50B3">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lastRenderedPageBreak/>
              <w:t>1</w:t>
            </w:r>
          </w:p>
        </w:tc>
        <w:tc>
          <w:tcPr>
            <w:tcW w:w="199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 0 do 3</w:t>
            </w:r>
          </w:p>
        </w:tc>
        <w:tc>
          <w:tcPr>
            <w:tcW w:w="247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od 0,1 do 0,5 km</w:t>
            </w:r>
          </w:p>
        </w:tc>
        <w:tc>
          <w:tcPr>
            <w:tcW w:w="184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3-6</w:t>
            </w:r>
          </w:p>
        </w:tc>
      </w:tr>
      <w:tr w:rsidR="00E847A6" w:rsidRPr="00EF535A" w:rsidTr="007E50B3">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199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 3 do 10</w:t>
            </w:r>
          </w:p>
        </w:tc>
        <w:tc>
          <w:tcPr>
            <w:tcW w:w="247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co 1 km</w:t>
            </w:r>
          </w:p>
        </w:tc>
        <w:tc>
          <w:tcPr>
            <w:tcW w:w="184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11</w:t>
            </w:r>
          </w:p>
        </w:tc>
      </w:tr>
      <w:tr w:rsidR="00E847A6" w:rsidRPr="00EF535A" w:rsidTr="007E50B3">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199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 10 do 20</w:t>
            </w:r>
          </w:p>
        </w:tc>
        <w:tc>
          <w:tcPr>
            <w:tcW w:w="247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co 2 km</w:t>
            </w:r>
          </w:p>
        </w:tc>
        <w:tc>
          <w:tcPr>
            <w:tcW w:w="184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11</w:t>
            </w:r>
          </w:p>
        </w:tc>
      </w:tr>
      <w:tr w:rsidR="00E847A6" w:rsidRPr="00EF535A" w:rsidTr="007E50B3">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4</w:t>
            </w:r>
          </w:p>
        </w:tc>
        <w:tc>
          <w:tcPr>
            <w:tcW w:w="199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 20 do 30</w:t>
            </w:r>
          </w:p>
        </w:tc>
        <w:tc>
          <w:tcPr>
            <w:tcW w:w="247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co 3 km</w:t>
            </w:r>
          </w:p>
        </w:tc>
        <w:tc>
          <w:tcPr>
            <w:tcW w:w="184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11</w:t>
            </w:r>
          </w:p>
        </w:tc>
      </w:tr>
      <w:tr w:rsidR="00E847A6" w:rsidRPr="00EF535A" w:rsidTr="007E50B3">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199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powyżej 30</w:t>
            </w:r>
          </w:p>
        </w:tc>
        <w:tc>
          <w:tcPr>
            <w:tcW w:w="247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co 4 km</w:t>
            </w:r>
          </w:p>
        </w:tc>
        <w:tc>
          <w:tcPr>
            <w:tcW w:w="184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&gt; 11</w:t>
            </w:r>
          </w:p>
        </w:tc>
      </w:tr>
    </w:tbl>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Wartość wskaźnika szorstkości zaleca się oznaczyć w 2 – 4 punktach oznakowania odcinka.</w:t>
      </w:r>
    </w:p>
    <w:p w:rsidR="00E847A6" w:rsidRPr="007078D3" w:rsidRDefault="00E847A6" w:rsidP="00E847A6">
      <w:pPr>
        <w:ind w:left="709" w:hanging="709"/>
        <w:rPr>
          <w:rFonts w:ascii="Times New Roman" w:hAnsi="Times New Roman" w:cs="Times New Roman"/>
          <w:color w:val="000000"/>
          <w:szCs w:val="20"/>
        </w:rPr>
      </w:pPr>
      <w:r w:rsidRPr="007078D3">
        <w:rPr>
          <w:rFonts w:ascii="Times New Roman" w:hAnsi="Times New Roman" w:cs="Times New Roman"/>
          <w:b/>
          <w:bCs/>
          <w:color w:val="000000"/>
          <w:szCs w:val="20"/>
        </w:rPr>
        <w:t>6.4.3. </w:t>
      </w:r>
      <w:r w:rsidRPr="007078D3">
        <w:rPr>
          <w:rFonts w:ascii="Times New Roman" w:hAnsi="Times New Roman" w:cs="Times New Roman"/>
          <w:color w:val="000000"/>
          <w:szCs w:val="20"/>
        </w:rPr>
        <w:t>Badania wykonania oznakowania poziomego z zastosowaniem punktowych elementów odblaskowych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Wykonawca wykonując oznakowanie z prefabrykowanych elementów odblaskowych przeprowadza, co najmniej raz dziennie lub zgodnie z ustaleniem ST, następujące badania:</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sprawdzenie oznakowania opakowań,</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sprawdzenie rodzaju stosowanego kleju lub innych elementów mocujących, zgodnie z zaleceniami ST,</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wizualną ocenę stanu elementów, w zakresie ich kompletności i braku wad,</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temperatury powietrza i nawierzchni,</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pomiaru czasu oddania do ruchu,</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wizualną ocenę liniowości i kierunkowości przyklejenia elementów,</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równomierności przyklejenia elementów na całej długości linii,</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zgodności wykonania oznakowania z dokumentacja projektową i załącznikiem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2 do rozporządzenia Ministra Infrastruktury z 3 lipca 2003 r. [11].</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Protokół z przeprowadzonych badań wraz z próbkami przyklejonych elementów, w liczbie określonej w ST, Wykonawca przechowuje do czasu upływu okresu gwarancji.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wątpliwości dotyczących wykonania oznakowania poziomego Inżynier może zlecić wykonanie badań widzialności w nocy, na próbkach zdjętych z nawierzchni i dostarczonych do laboratorium, na zgodność z wymaganiami podanymi w ST lub aprobacie technicznej, wykonanych według metod określonych w PN-EN 1463-1:2009 [4] lub w Vademecum [17]. Jeśli wyniki tych badań wykażą wadliwość wykonanego oznakowania to koszt badań ponosi Wykonawca, w przypadku przeciwnym - Zamawiający.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6.4.4. </w:t>
      </w:r>
      <w:r w:rsidRPr="007078D3">
        <w:rPr>
          <w:rFonts w:ascii="Times New Roman" w:hAnsi="Times New Roman" w:cs="Times New Roman"/>
          <w:color w:val="000000"/>
          <w:szCs w:val="20"/>
        </w:rPr>
        <w:t>Zbiorcze zestawienie wymagań dla materiałów i oznakowań</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Zbiorcze zestawienie dla materiałów do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zawarto w p. 2.6 w tablicach 1 – 6. W tablicy 18 podano zbiorcze zestawienie dla oznakowań na autostradach, drogach ekspresowych oraz na drogach klasy 1 tj. o prędkości ³ 100 km/h lub o natężeniu ruchu &gt; 2 500 pojazdów rzeczywistych na dobę na pas. W tablicy 19 podano zbiorcze zestawienie dla oznakowań na pozostałych drogach tj. klasy 2.</w:t>
      </w:r>
    </w:p>
    <w:p w:rsidR="00E847A6" w:rsidRPr="007078D3" w:rsidRDefault="00E847A6" w:rsidP="00E847A6">
      <w:pPr>
        <w:ind w:left="1202" w:hanging="1202"/>
        <w:rPr>
          <w:rFonts w:ascii="Times New Roman" w:hAnsi="Times New Roman" w:cs="Times New Roman"/>
          <w:color w:val="000000"/>
          <w:szCs w:val="20"/>
        </w:rPr>
      </w:pPr>
      <w:r w:rsidRPr="007078D3">
        <w:rPr>
          <w:rFonts w:ascii="Times New Roman" w:hAnsi="Times New Roman" w:cs="Times New Roman"/>
          <w:color w:val="000000"/>
          <w:szCs w:val="20"/>
        </w:rPr>
        <w:t>Tablica 18.   Zbiorcze zestawienie wymagań dla oznakowań na autostradach, drogach ekspresowych oraz na drogach o prędkości ³ 100 km/h lub o natężeniu ruchu &gt; 2 500 pojazdów rzeczywistych na dobę na pas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1)</w:t>
      </w:r>
    </w:p>
    <w:tbl>
      <w:tblPr>
        <w:tblW w:w="8859" w:type="dxa"/>
        <w:shd w:val="clear" w:color="auto" w:fill="EAEAEA"/>
        <w:tblCellMar>
          <w:left w:w="0" w:type="dxa"/>
          <w:right w:w="0" w:type="dxa"/>
        </w:tblCellMar>
        <w:tblLook w:val="04A0"/>
      </w:tblPr>
      <w:tblGrid>
        <w:gridCol w:w="701"/>
        <w:gridCol w:w="3905"/>
        <w:gridCol w:w="1560"/>
        <w:gridCol w:w="1701"/>
        <w:gridCol w:w="992"/>
      </w:tblGrid>
      <w:tr w:rsidR="00E847A6" w:rsidRPr="00EF535A" w:rsidTr="007E50B3">
        <w:trPr>
          <w:tblHeader/>
        </w:trPr>
        <w:tc>
          <w:tcPr>
            <w:tcW w:w="701" w:type="dxa"/>
            <w:tcBorders>
              <w:top w:val="single" w:sz="8" w:space="0" w:color="auto"/>
              <w:left w:val="single" w:sz="8" w:space="0" w:color="auto"/>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3905"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Właściwość</w:t>
            </w:r>
          </w:p>
        </w:tc>
        <w:tc>
          <w:tcPr>
            <w:tcW w:w="1560"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Jednostka</w:t>
            </w:r>
          </w:p>
        </w:tc>
        <w:tc>
          <w:tcPr>
            <w:tcW w:w="1701"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Wymagania</w:t>
            </w:r>
          </w:p>
        </w:tc>
        <w:tc>
          <w:tcPr>
            <w:tcW w:w="992"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oznakowania nowego (w ciągu 7 - 30 dni po wykonaniu) w stanie suchym barwy białej</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250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R4/5</w:t>
            </w:r>
          </w:p>
        </w:tc>
      </w:tr>
      <w:tr w:rsidR="00E847A6" w:rsidRPr="00EF535A" w:rsidTr="007E50B3">
        <w:trPr>
          <w:trHeight w:val="1155"/>
        </w:trPr>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oznakowania suchego w okresie od 31 dnia do 180 dnia po wykonaniu, barwy: białej</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200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R4</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oznakowania suchego od 181 dnia po wykonaniu barwy białej</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150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R3</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4</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grubowarstwowego strukturalnego oznakowania wilgotnego od 7 dnia do 30 dnia po wykonaniu, barwy białej</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50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RW3</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grubowarstwowego strukturalnego oznakowania wilgotnego od 31 dnia po wykonaniu, barwy białej</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35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6</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oznako-wania</w:t>
            </w:r>
            <w:r w:rsidRPr="00EF535A">
              <w:rPr>
                <w:rFonts w:ascii="Times New Roman" w:hAnsi="Times New Roman" w:cs="Times New Roman"/>
                <w:sz w:val="18"/>
                <w:szCs w:val="18"/>
              </w:rPr>
              <w:t> nowego białego wykonanego taśmami: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na sucho</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 stanie wilgotnym (tylko typ II)</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75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RW4</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7</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oznako-wania</w:t>
            </w:r>
            <w:r w:rsidRPr="00EF535A">
              <w:rPr>
                <w:rFonts w:ascii="Times New Roman" w:hAnsi="Times New Roman" w:cs="Times New Roman"/>
                <w:sz w:val="18"/>
                <w:szCs w:val="18"/>
              </w:rPr>
              <w:t> białego od 31 dnia eksploatacji wykonanego taśmami: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na sucho</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 stanie wilgotnym (tylko typ II)</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8</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oznako-wania</w:t>
            </w:r>
            <w:r w:rsidRPr="00EF535A">
              <w:rPr>
                <w:rFonts w:ascii="Times New Roman" w:hAnsi="Times New Roman" w:cs="Times New Roman"/>
                <w:sz w:val="18"/>
                <w:szCs w:val="18"/>
              </w:rPr>
              <w:t> tymczasowego żółtego (typ I </w:t>
            </w:r>
            <w:r w:rsidRPr="00EF535A">
              <w:rPr>
                <w:rStyle w:val="spelle"/>
                <w:rFonts w:ascii="Times New Roman" w:hAnsi="Times New Roman" w:cs="Times New Roman"/>
                <w:sz w:val="18"/>
                <w:szCs w:val="18"/>
              </w:rPr>
              <w:t>i</w:t>
            </w:r>
            <w:r w:rsidRPr="00EF535A">
              <w:rPr>
                <w:rFonts w:ascii="Times New Roman" w:hAnsi="Times New Roman" w:cs="Times New Roman"/>
                <w:sz w:val="18"/>
                <w:szCs w:val="18"/>
              </w:rPr>
              <w:t> II)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do 90 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od 91 do 120 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po 120 dniach</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200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100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9</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oznako-</w:t>
            </w:r>
            <w:r w:rsidRPr="00EF535A">
              <w:rPr>
                <w:rStyle w:val="spelle"/>
                <w:rFonts w:ascii="Times New Roman" w:hAnsi="Times New Roman" w:cs="Times New Roman"/>
                <w:sz w:val="18"/>
                <w:szCs w:val="18"/>
              </w:rPr>
              <w:lastRenderedPageBreak/>
              <w:t>wania</w:t>
            </w:r>
            <w:r w:rsidRPr="00EF535A">
              <w:rPr>
                <w:rFonts w:ascii="Times New Roman" w:hAnsi="Times New Roman" w:cs="Times New Roman"/>
                <w:sz w:val="18"/>
                <w:szCs w:val="18"/>
              </w:rPr>
              <w:t> tymczasowego żółtego wilgotnego strukturalnego (typ II)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do 90 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od 91 do 120 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po 120 dniach</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25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RW1</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lastRenderedPageBreak/>
              <w:t>10</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b dla oznakowania nowego (od 7 do 30 dnia po wykonaniu)  barwy:</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asfaltowej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betonowej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żółtej</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0,40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0,30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11</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b dla oznakowania eksploatowanego (po 30 dniu od wykonania) barwy:</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białej na nawierzchni asfaltowej</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białej na nawierzchni betonowej</w:t>
            </w:r>
          </w:p>
          <w:p w:rsidR="00E847A6" w:rsidRPr="00EF535A" w:rsidRDefault="00E847A6" w:rsidP="007E50B3">
            <w:pPr>
              <w:pStyle w:val="Stopka"/>
              <w:rPr>
                <w:rFonts w:ascii="Times New Roman" w:hAnsi="Times New Roman" w:cs="Times New Roman"/>
                <w:sz w:val="18"/>
                <w:szCs w:val="18"/>
              </w:rPr>
            </w:pPr>
            <w:r w:rsidRPr="00EF535A">
              <w:rPr>
                <w:rFonts w:ascii="Times New Roman" w:hAnsi="Times New Roman" w:cs="Times New Roman"/>
                <w:sz w:val="18"/>
                <w:szCs w:val="18"/>
              </w:rPr>
              <w:t>- żółtej</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0,40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0,20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B1</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12</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w świetle rozproszonym </w:t>
            </w:r>
            <w:r w:rsidRPr="00EF535A">
              <w:rPr>
                <w:rStyle w:val="spelle"/>
                <w:rFonts w:ascii="Times New Roman" w:hAnsi="Times New Roman" w:cs="Times New Roman"/>
                <w:sz w:val="18"/>
                <w:szCs w:val="18"/>
              </w:rPr>
              <w:t>Qd</w:t>
            </w:r>
            <w:r w:rsidRPr="00EF535A">
              <w:rPr>
                <w:rFonts w:ascii="Times New Roman" w:hAnsi="Times New Roman" w:cs="Times New Roman"/>
                <w:sz w:val="18"/>
                <w:szCs w:val="18"/>
              </w:rPr>
              <w:t> (alternatywnie do b) dla oznakowania nowego w ciągu od 7 do 30 dnia po wykonaniu, barwy:</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asfaltowej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betonowej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żółtej</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w:t>
            </w:r>
            <w:r w:rsidRPr="00EF535A">
              <w:rPr>
                <w:rFonts w:ascii="Times New Roman" w:hAnsi="Times New Roman" w:cs="Times New Roman"/>
                <w:sz w:val="18"/>
                <w:szCs w:val="18"/>
                <w:lang w:val="en-US"/>
              </w:rPr>
              <w:t> 130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w:t>
            </w:r>
            <w:r w:rsidRPr="00EF535A">
              <w:rPr>
                <w:rFonts w:ascii="Times New Roman" w:hAnsi="Times New Roman" w:cs="Times New Roman"/>
                <w:sz w:val="18"/>
                <w:szCs w:val="18"/>
                <w:lang w:val="en-US"/>
              </w:rPr>
              <w:t> 160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w:t>
            </w:r>
            <w:r w:rsidRPr="00EF535A">
              <w:rPr>
                <w:rFonts w:ascii="Times New Roman" w:hAnsi="Times New Roman" w:cs="Times New Roman"/>
                <w:sz w:val="18"/>
                <w:szCs w:val="18"/>
                <w:lang w:val="en-US"/>
              </w:rPr>
              <w:t> 100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lang w:val="en-US"/>
              </w:rPr>
              <w:t>13</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w świetle rozproszonym </w:t>
            </w:r>
            <w:r w:rsidRPr="00EF535A">
              <w:rPr>
                <w:rStyle w:val="spelle"/>
                <w:rFonts w:ascii="Times New Roman" w:hAnsi="Times New Roman" w:cs="Times New Roman"/>
                <w:sz w:val="18"/>
                <w:szCs w:val="18"/>
              </w:rPr>
              <w:t>Qd</w:t>
            </w:r>
            <w:r w:rsidRPr="00EF535A">
              <w:rPr>
                <w:rFonts w:ascii="Times New Roman" w:hAnsi="Times New Roman" w:cs="Times New Roman"/>
                <w:sz w:val="18"/>
                <w:szCs w:val="18"/>
              </w:rPr>
              <w:t> (alternatywnie do b) dla oznakowania </w:t>
            </w:r>
            <w:r w:rsidRPr="00EF535A">
              <w:rPr>
                <w:rStyle w:val="spelle"/>
                <w:rFonts w:ascii="Times New Roman" w:hAnsi="Times New Roman" w:cs="Times New Roman"/>
                <w:sz w:val="18"/>
                <w:szCs w:val="18"/>
              </w:rPr>
              <w:t>eksploa-towanego</w:t>
            </w:r>
            <w:r w:rsidRPr="00EF535A">
              <w:rPr>
                <w:rFonts w:ascii="Times New Roman" w:hAnsi="Times New Roman" w:cs="Times New Roman"/>
                <w:sz w:val="18"/>
                <w:szCs w:val="18"/>
              </w:rPr>
              <w:t> w ciągu całego okresu eksploatacji po 30 dniu od wykonania,  barwy:</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asfaltowej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betonowej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żółtej</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w:t>
            </w:r>
            <w:r w:rsidRPr="00EF535A">
              <w:rPr>
                <w:rFonts w:ascii="Times New Roman" w:hAnsi="Times New Roman" w:cs="Times New Roman"/>
                <w:sz w:val="18"/>
                <w:szCs w:val="18"/>
                <w:lang w:val="en-US"/>
              </w:rPr>
              <w:t> 100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w:t>
            </w:r>
            <w:r w:rsidRPr="00EF535A">
              <w:rPr>
                <w:rFonts w:ascii="Times New Roman" w:hAnsi="Times New Roman" w:cs="Times New Roman"/>
                <w:sz w:val="18"/>
                <w:szCs w:val="18"/>
                <w:lang w:val="en-US"/>
              </w:rPr>
              <w:t> 130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w:t>
            </w:r>
            <w:r w:rsidRPr="00EF535A">
              <w:rPr>
                <w:rFonts w:ascii="Times New Roman" w:hAnsi="Times New Roman" w:cs="Times New Roman"/>
                <w:sz w:val="18"/>
                <w:szCs w:val="18"/>
                <w:lang w:val="en-US"/>
              </w:rPr>
              <w:t> 80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Q1</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lang w:val="en-US"/>
              </w:rPr>
              <w:t>14</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Współrzędne chromatyczności </w:t>
            </w:r>
            <w:r w:rsidRPr="00EF535A">
              <w:rPr>
                <w:rStyle w:val="spelle"/>
                <w:rFonts w:ascii="Times New Roman" w:hAnsi="Times New Roman" w:cs="Times New Roman"/>
                <w:sz w:val="18"/>
                <w:szCs w:val="18"/>
              </w:rPr>
              <w:t>x,y</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wg rys. 1, 2 i 3</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15</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Szorstkość oznakowania eksploatowanego</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wskaźnik</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SRT</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45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S1</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16</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Trwałość oznakowania cienkowarstwowego po 12 miesiącach:</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skala LCPC</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6</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17</w:t>
            </w:r>
          </w:p>
        </w:tc>
        <w:tc>
          <w:tcPr>
            <w:tcW w:w="390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Czas schnięcia materiału na nawierzchni</w:t>
            </w:r>
          </w:p>
          <w:p w:rsidR="00E847A6" w:rsidRPr="00EF535A" w:rsidRDefault="00E847A6" w:rsidP="007E50B3">
            <w:pPr>
              <w:ind w:left="358" w:hanging="284"/>
              <w:rPr>
                <w:rFonts w:ascii="Times New Roman" w:hAnsi="Times New Roman" w:cs="Times New Roman"/>
                <w:sz w:val="18"/>
                <w:szCs w:val="18"/>
              </w:rPr>
            </w:pPr>
            <w:r w:rsidRPr="00EF535A">
              <w:rPr>
                <w:rFonts w:ascii="Times New Roman" w:hAnsi="Times New Roman" w:cs="Times New Roman"/>
                <w:sz w:val="18"/>
                <w:szCs w:val="18"/>
              </w:rPr>
              <w:t>-      w dzień</w:t>
            </w:r>
          </w:p>
          <w:p w:rsidR="00E847A6" w:rsidRPr="00EF535A" w:rsidRDefault="00E847A6" w:rsidP="007E50B3">
            <w:pPr>
              <w:ind w:left="358" w:hanging="284"/>
              <w:rPr>
                <w:rFonts w:ascii="Times New Roman" w:hAnsi="Times New Roman" w:cs="Times New Roman"/>
                <w:sz w:val="18"/>
                <w:szCs w:val="18"/>
              </w:rPr>
            </w:pPr>
            <w:r w:rsidRPr="00EF535A">
              <w:rPr>
                <w:rFonts w:ascii="Times New Roman" w:hAnsi="Times New Roman" w:cs="Times New Roman"/>
                <w:sz w:val="18"/>
                <w:szCs w:val="18"/>
              </w:rPr>
              <w:t>-      w nocy</w:t>
            </w:r>
          </w:p>
        </w:tc>
        <w:tc>
          <w:tcPr>
            <w:tcW w:w="156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h</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h</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£ 2</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r>
    </w:tbl>
    <w:p w:rsidR="00E847A6" w:rsidRPr="007078D3" w:rsidRDefault="00E847A6" w:rsidP="00E847A6">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Tablica 19.  Zbiorcze zestawienie wymagań dla oznakowań na pozostałych drogach nie wymienionych w tablicy 18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2 - dopuszczalna prędkość &lt; 100 km/h, natężenie ruchu &lt; 2 500 pojazdów rzeczywistych na dobę na pas).</w:t>
      </w:r>
    </w:p>
    <w:tbl>
      <w:tblPr>
        <w:tblW w:w="8859" w:type="dxa"/>
        <w:shd w:val="clear" w:color="auto" w:fill="EAEAEA"/>
        <w:tblCellMar>
          <w:left w:w="0" w:type="dxa"/>
          <w:right w:w="0" w:type="dxa"/>
        </w:tblCellMar>
        <w:tblLook w:val="04A0"/>
      </w:tblPr>
      <w:tblGrid>
        <w:gridCol w:w="701"/>
        <w:gridCol w:w="4047"/>
        <w:gridCol w:w="1418"/>
        <w:gridCol w:w="1701"/>
        <w:gridCol w:w="992"/>
      </w:tblGrid>
      <w:tr w:rsidR="00E847A6" w:rsidRPr="00EF535A" w:rsidTr="007E50B3">
        <w:trPr>
          <w:tblHeader/>
        </w:trPr>
        <w:tc>
          <w:tcPr>
            <w:tcW w:w="701" w:type="dxa"/>
            <w:tcBorders>
              <w:top w:val="single" w:sz="8" w:space="0" w:color="auto"/>
              <w:left w:val="single" w:sz="8" w:space="0" w:color="auto"/>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4047"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Właściwość</w:t>
            </w:r>
          </w:p>
        </w:tc>
        <w:tc>
          <w:tcPr>
            <w:tcW w:w="1418"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Jednostka</w:t>
            </w:r>
          </w:p>
        </w:tc>
        <w:tc>
          <w:tcPr>
            <w:tcW w:w="1701"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Wymagania</w:t>
            </w:r>
          </w:p>
        </w:tc>
        <w:tc>
          <w:tcPr>
            <w:tcW w:w="992"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oznakowania nowego (od 7 dnia do  30 dnia po wykonaniu) w stanie suchym barwy:</w:t>
            </w:r>
          </w:p>
          <w:p w:rsidR="00E847A6" w:rsidRPr="00EF535A" w:rsidRDefault="00E847A6" w:rsidP="007E50B3">
            <w:pPr>
              <w:ind w:left="355" w:hanging="283"/>
              <w:rPr>
                <w:rFonts w:ascii="Times New Roman" w:hAnsi="Times New Roman" w:cs="Times New Roman"/>
                <w:sz w:val="18"/>
                <w:szCs w:val="18"/>
              </w:rPr>
            </w:pPr>
            <w:r w:rsidRPr="00EF535A">
              <w:rPr>
                <w:rFonts w:ascii="Times New Roman" w:hAnsi="Times New Roman" w:cs="Times New Roman"/>
                <w:sz w:val="18"/>
                <w:szCs w:val="18"/>
              </w:rPr>
              <w:t>-      białej,</w:t>
            </w:r>
          </w:p>
          <w:p w:rsidR="00E847A6" w:rsidRPr="00EF535A" w:rsidRDefault="00E847A6" w:rsidP="007E50B3">
            <w:pPr>
              <w:ind w:left="355" w:hanging="283"/>
              <w:rPr>
                <w:rFonts w:ascii="Times New Roman" w:hAnsi="Times New Roman" w:cs="Times New Roman"/>
                <w:sz w:val="18"/>
                <w:szCs w:val="18"/>
              </w:rPr>
            </w:pPr>
            <w:r w:rsidRPr="00EF535A">
              <w:rPr>
                <w:rFonts w:ascii="Times New Roman" w:hAnsi="Times New Roman" w:cs="Times New Roman"/>
                <w:sz w:val="18"/>
                <w:szCs w:val="18"/>
              </w:rPr>
              <w:t>-      żółtej tymczasowej</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200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150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R3</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oznakowania eksploatowanego od 31 do 180 dnia po wykonaniu, barwy:</w:t>
            </w:r>
          </w:p>
          <w:p w:rsidR="00E847A6" w:rsidRPr="00EF535A" w:rsidRDefault="00E847A6" w:rsidP="007E50B3">
            <w:pPr>
              <w:ind w:left="355" w:hanging="283"/>
              <w:rPr>
                <w:rFonts w:ascii="Times New Roman" w:hAnsi="Times New Roman" w:cs="Times New Roman"/>
                <w:sz w:val="18"/>
                <w:szCs w:val="18"/>
              </w:rPr>
            </w:pPr>
            <w:r w:rsidRPr="00EF535A">
              <w:rPr>
                <w:rFonts w:ascii="Times New Roman" w:hAnsi="Times New Roman" w:cs="Times New Roman"/>
                <w:sz w:val="18"/>
                <w:szCs w:val="18"/>
              </w:rPr>
              <w:t>-      białej,</w:t>
            </w:r>
          </w:p>
          <w:p w:rsidR="00E847A6" w:rsidRPr="00EF535A" w:rsidRDefault="00E847A6" w:rsidP="007E50B3">
            <w:pPr>
              <w:ind w:left="355" w:hanging="283"/>
              <w:rPr>
                <w:rFonts w:ascii="Times New Roman" w:hAnsi="Times New Roman" w:cs="Times New Roman"/>
                <w:sz w:val="18"/>
                <w:szCs w:val="18"/>
              </w:rPr>
            </w:pPr>
            <w:r w:rsidRPr="00EF535A">
              <w:rPr>
                <w:rFonts w:ascii="Times New Roman" w:hAnsi="Times New Roman" w:cs="Times New Roman"/>
                <w:sz w:val="18"/>
                <w:szCs w:val="18"/>
              </w:rPr>
              <w:t>-      żółtej</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100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oznakowania suchego od 181 dnia po wykonaniu barwy białej</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100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4</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grubowarstwowego strukturalnego oznakowania wilgotnego od 7 do 30 dnia po wykonaniu, barwy białej</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50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RW3</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dla grubowarstwowego strukturalnego oznakowania wilgotnego po 30 dniu od wykonania, barwy białej</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35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6</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oznakowania białego, nowego wykonanego taśmami: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lastRenderedPageBreak/>
              <w:t>- na sucho</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 stanie wilgotnym (tylko typ II)</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75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RW4</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lastRenderedPageBreak/>
              <w:t>7</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L</w:t>
            </w:r>
            <w:r w:rsidRPr="00EF535A">
              <w:rPr>
                <w:rFonts w:ascii="Times New Roman" w:hAnsi="Times New Roman" w:cs="Times New Roman"/>
                <w:sz w:val="18"/>
                <w:szCs w:val="18"/>
              </w:rPr>
              <w:t> oznakowania białego od 31 dnia eksploatacji wykonanego taśmami: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na sucho</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 stanie wilgotnym (tylko typ II)</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8</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oznakowania tymczasowego żółtego (typ I </w:t>
            </w:r>
            <w:r w:rsidRPr="00EF535A">
              <w:rPr>
                <w:rStyle w:val="spelle"/>
                <w:rFonts w:ascii="Times New Roman" w:hAnsi="Times New Roman" w:cs="Times New Roman"/>
                <w:sz w:val="18"/>
                <w:szCs w:val="18"/>
              </w:rPr>
              <w:t>i</w:t>
            </w:r>
            <w:r w:rsidRPr="00EF535A">
              <w:rPr>
                <w:rFonts w:ascii="Times New Roman" w:hAnsi="Times New Roman" w:cs="Times New Roman"/>
                <w:sz w:val="18"/>
                <w:szCs w:val="18"/>
              </w:rPr>
              <w:t> II)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do 90 dnia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R4</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od 91 do 120 dnia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R3</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po 120 dniach – </w:t>
            </w:r>
            <w:r w:rsidRPr="00EF535A">
              <w:rPr>
                <w:rStyle w:val="spelle"/>
                <w:rFonts w:ascii="Times New Roman" w:hAnsi="Times New Roman" w:cs="Times New Roman"/>
                <w:sz w:val="18"/>
                <w:szCs w:val="18"/>
              </w:rPr>
              <w:t>klasa</w:t>
            </w:r>
            <w:r w:rsidRPr="00EF535A">
              <w:rPr>
                <w:rFonts w:ascii="Times New Roman" w:hAnsi="Times New Roman" w:cs="Times New Roman"/>
                <w:sz w:val="18"/>
                <w:szCs w:val="18"/>
              </w:rPr>
              <w:t> R2</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200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100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9</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odblasku </w:t>
            </w:r>
            <w:r w:rsidRPr="00EF535A">
              <w:rPr>
                <w:rFonts w:ascii="Times New Roman" w:hAnsi="Times New Roman" w:cs="Times New Roman"/>
                <w:i/>
                <w:iCs/>
                <w:sz w:val="18"/>
                <w:szCs w:val="18"/>
              </w:rPr>
              <w:t>R</w:t>
            </w:r>
            <w:r w:rsidRPr="00EF535A">
              <w:rPr>
                <w:rFonts w:ascii="Times New Roman" w:hAnsi="Times New Roman" w:cs="Times New Roman"/>
                <w:i/>
                <w:iCs/>
                <w:sz w:val="18"/>
                <w:szCs w:val="18"/>
                <w:vertAlign w:val="subscript"/>
              </w:rPr>
              <w:t>L</w:t>
            </w:r>
            <w:r w:rsidRPr="00EF535A">
              <w:rPr>
                <w:rFonts w:ascii="Times New Roman" w:hAnsi="Times New Roman" w:cs="Times New Roman"/>
                <w:sz w:val="18"/>
                <w:szCs w:val="18"/>
              </w:rPr>
              <w:t> oznakowania tymczasowego żółtego wilgotnego strukturalnego (typ II)</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do 90 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od 91 do 120 dnia</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po 120 dniach</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35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w:t>
            </w:r>
            <w:r w:rsidRPr="00EF535A">
              <w:rPr>
                <w:rFonts w:ascii="Times New Roman" w:hAnsi="Times New Roman" w:cs="Times New Roman"/>
                <w:sz w:val="18"/>
                <w:szCs w:val="18"/>
                <w:lang w:val="de-DE"/>
              </w:rPr>
              <w:t> 25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RW1</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10</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b dla oznakowania nowego (od 7 do 30 dnia po wykonaniu) barwy:</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asfaltowej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betonowej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żółtej  </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0,35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0,40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0,30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B2/3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11</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b dla oznakowania eksploatowanego (po 30 dniu od wykonania) barwy:</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białej</w:t>
            </w:r>
          </w:p>
          <w:p w:rsidR="00E847A6" w:rsidRPr="00EF535A" w:rsidRDefault="00E847A6" w:rsidP="007E50B3">
            <w:pPr>
              <w:pStyle w:val="Stopka"/>
              <w:rPr>
                <w:rFonts w:ascii="Times New Roman" w:hAnsi="Times New Roman" w:cs="Times New Roman"/>
                <w:sz w:val="18"/>
                <w:szCs w:val="18"/>
              </w:rPr>
            </w:pPr>
            <w:r w:rsidRPr="00EF535A">
              <w:rPr>
                <w:rFonts w:ascii="Times New Roman" w:hAnsi="Times New Roman" w:cs="Times New Roman"/>
                <w:sz w:val="18"/>
                <w:szCs w:val="18"/>
              </w:rPr>
              <w:t>- żółtej</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0,20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B1</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12</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w świetle rozproszonym </w:t>
            </w:r>
            <w:r w:rsidRPr="00EF535A">
              <w:rPr>
                <w:rStyle w:val="spelle"/>
                <w:rFonts w:ascii="Times New Roman" w:hAnsi="Times New Roman" w:cs="Times New Roman"/>
                <w:sz w:val="18"/>
                <w:szCs w:val="18"/>
              </w:rPr>
              <w:t>Qd</w:t>
            </w:r>
            <w:r w:rsidRPr="00EF535A">
              <w:rPr>
                <w:rFonts w:ascii="Times New Roman" w:hAnsi="Times New Roman" w:cs="Times New Roman"/>
                <w:sz w:val="18"/>
                <w:szCs w:val="18"/>
              </w:rPr>
              <w:t> (alternatywnie do b) dla oznakowania nowego w ciągu od 7 do 30 dnia po wykonaniu, barwy:</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asfaltowej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betonowej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żółtej</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160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100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Q2</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lang w:val="en-US"/>
              </w:rPr>
              <w:t>13</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Współczynnik luminancji w świetle rozproszonym </w:t>
            </w:r>
            <w:r w:rsidRPr="00EF535A">
              <w:rPr>
                <w:rStyle w:val="spelle"/>
                <w:rFonts w:ascii="Times New Roman" w:hAnsi="Times New Roman" w:cs="Times New Roman"/>
                <w:sz w:val="18"/>
                <w:szCs w:val="18"/>
              </w:rPr>
              <w:t>Qd</w:t>
            </w:r>
            <w:r w:rsidRPr="00EF535A">
              <w:rPr>
                <w:rFonts w:ascii="Times New Roman" w:hAnsi="Times New Roman" w:cs="Times New Roman"/>
                <w:sz w:val="18"/>
                <w:szCs w:val="18"/>
              </w:rPr>
              <w:t> (alternatywnie do b) dla oznakowania eksploatowanego w ciągu całego okresu eksploatacji po 30 dniu od wykonania,  barwy:</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asfaltowej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białej na nawierzchni betonowej</w:t>
            </w:r>
          </w:p>
          <w:p w:rsidR="00E847A6" w:rsidRPr="00EF535A" w:rsidRDefault="00E847A6" w:rsidP="007E50B3">
            <w:pPr>
              <w:ind w:left="283" w:hanging="283"/>
              <w:rPr>
                <w:rFonts w:ascii="Times New Roman" w:hAnsi="Times New Roman" w:cs="Times New Roman"/>
                <w:sz w:val="18"/>
                <w:szCs w:val="18"/>
              </w:rPr>
            </w:pPr>
            <w:r w:rsidRPr="00EF535A">
              <w:rPr>
                <w:rFonts w:ascii="Times New Roman" w:hAnsi="Times New Roman" w:cs="Times New Roman"/>
                <w:sz w:val="18"/>
                <w:szCs w:val="18"/>
              </w:rPr>
              <w:t>-      żółtej</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mcd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130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80</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Q1</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lang w:val="en-US"/>
              </w:rPr>
              <w:t>14</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Współrzędne chromatyczności </w:t>
            </w:r>
            <w:r w:rsidRPr="00EF535A">
              <w:rPr>
                <w:rStyle w:val="spelle"/>
                <w:rFonts w:ascii="Times New Roman" w:hAnsi="Times New Roman" w:cs="Times New Roman"/>
                <w:sz w:val="18"/>
                <w:szCs w:val="18"/>
              </w:rPr>
              <w:t>x,y</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wg rys. 1,2 i 3</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lang w:val="en-US"/>
              </w:rPr>
              <w:t>15</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Szorstkość oznakowania eksploatowanego</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wskaźnik</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SRT</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45</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S1</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16</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Trwałość oznakowania </w:t>
            </w:r>
            <w:r w:rsidRPr="00EF535A">
              <w:rPr>
                <w:rStyle w:val="spelle"/>
                <w:rFonts w:ascii="Times New Roman" w:hAnsi="Times New Roman" w:cs="Times New Roman"/>
                <w:sz w:val="18"/>
                <w:szCs w:val="18"/>
              </w:rPr>
              <w:t>cienkowarstwo-wego</w:t>
            </w:r>
            <w:r w:rsidRPr="00EF535A">
              <w:rPr>
                <w:rFonts w:ascii="Times New Roman" w:hAnsi="Times New Roman" w:cs="Times New Roman"/>
                <w:sz w:val="18"/>
                <w:szCs w:val="18"/>
              </w:rPr>
              <w:t> po 12 miesiącach:</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skala LCPC</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³ 6</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r>
      <w:tr w:rsidR="00E847A6" w:rsidRPr="00EF535A" w:rsidTr="007E50B3">
        <w:tc>
          <w:tcPr>
            <w:tcW w:w="701"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57"/>
              <w:jc w:val="center"/>
              <w:rPr>
                <w:rFonts w:ascii="Times New Roman" w:hAnsi="Times New Roman" w:cs="Times New Roman"/>
                <w:sz w:val="18"/>
                <w:szCs w:val="18"/>
              </w:rPr>
            </w:pPr>
            <w:r w:rsidRPr="00EF535A">
              <w:rPr>
                <w:rFonts w:ascii="Times New Roman" w:hAnsi="Times New Roman" w:cs="Times New Roman"/>
                <w:sz w:val="18"/>
                <w:szCs w:val="18"/>
              </w:rPr>
              <w:t>17</w:t>
            </w:r>
          </w:p>
        </w:tc>
        <w:tc>
          <w:tcPr>
            <w:tcW w:w="4047"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Czas schnięcia materiału na nawierzchni</w:t>
            </w:r>
          </w:p>
          <w:p w:rsidR="00E847A6" w:rsidRPr="00EF535A" w:rsidRDefault="00E847A6" w:rsidP="007E50B3">
            <w:pPr>
              <w:ind w:left="355" w:hanging="283"/>
              <w:rPr>
                <w:rFonts w:ascii="Times New Roman" w:hAnsi="Times New Roman" w:cs="Times New Roman"/>
                <w:sz w:val="18"/>
                <w:szCs w:val="18"/>
              </w:rPr>
            </w:pPr>
            <w:r w:rsidRPr="00EF535A">
              <w:rPr>
                <w:rFonts w:ascii="Times New Roman" w:hAnsi="Times New Roman" w:cs="Times New Roman"/>
                <w:sz w:val="18"/>
                <w:szCs w:val="18"/>
              </w:rPr>
              <w:t>-      w dzień</w:t>
            </w:r>
          </w:p>
          <w:p w:rsidR="00E847A6" w:rsidRPr="00EF535A" w:rsidRDefault="00E847A6" w:rsidP="007E50B3">
            <w:pPr>
              <w:ind w:left="355" w:hanging="283"/>
              <w:rPr>
                <w:rFonts w:ascii="Times New Roman" w:hAnsi="Times New Roman" w:cs="Times New Roman"/>
                <w:sz w:val="18"/>
                <w:szCs w:val="18"/>
              </w:rPr>
            </w:pPr>
            <w:r w:rsidRPr="00EF535A">
              <w:rPr>
                <w:rFonts w:ascii="Times New Roman" w:hAnsi="Times New Roman" w:cs="Times New Roman"/>
                <w:sz w:val="18"/>
                <w:szCs w:val="18"/>
              </w:rPr>
              <w:t>-      w nocy</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h</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h</w:t>
            </w:r>
          </w:p>
        </w:tc>
        <w:tc>
          <w:tcPr>
            <w:tcW w:w="170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£ 2</w:t>
            </w:r>
          </w:p>
        </w:tc>
        <w:tc>
          <w:tcPr>
            <w:tcW w:w="992"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r>
    </w:tbl>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6.5. Tolerancje wymiarów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6.5.1. </w:t>
      </w:r>
      <w:r w:rsidRPr="007078D3">
        <w:rPr>
          <w:rFonts w:ascii="Times New Roman" w:hAnsi="Times New Roman" w:cs="Times New Roman"/>
          <w:color w:val="000000"/>
          <w:szCs w:val="20"/>
        </w:rPr>
        <w:t>Dozwolone odstępstwa wymiarowe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Dozwolone odstępstwa wymiarowe nowo wykonanego oznakowania poziomego, zgodnego z dokumentacją projektową i załącznikiem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2 do rozporządzenia Ministra Infrastruktury z 3.07.2003 r. [11], zamieszczono w tablicy 20.</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20. Odstępstwa wymiarowe poziomych oznakowań </w:t>
      </w:r>
      <w:r w:rsidRPr="007078D3">
        <w:rPr>
          <w:rStyle w:val="spelle"/>
          <w:rFonts w:ascii="Times New Roman" w:hAnsi="Times New Roman" w:cs="Times New Roman"/>
          <w:color w:val="000000"/>
          <w:szCs w:val="20"/>
        </w:rPr>
        <w:t>dróg</w:t>
      </w:r>
    </w:p>
    <w:tbl>
      <w:tblPr>
        <w:tblW w:w="0" w:type="auto"/>
        <w:tblInd w:w="108" w:type="dxa"/>
        <w:shd w:val="clear" w:color="auto" w:fill="EAEAEA"/>
        <w:tblCellMar>
          <w:left w:w="0" w:type="dxa"/>
          <w:right w:w="0" w:type="dxa"/>
        </w:tblCellMar>
        <w:tblLook w:val="04A0"/>
      </w:tblPr>
      <w:tblGrid>
        <w:gridCol w:w="851"/>
        <w:gridCol w:w="4903"/>
        <w:gridCol w:w="3141"/>
      </w:tblGrid>
      <w:tr w:rsidR="00E847A6" w:rsidRPr="00EF535A" w:rsidTr="007E50B3">
        <w:tc>
          <w:tcPr>
            <w:tcW w:w="851" w:type="dxa"/>
            <w:tcBorders>
              <w:top w:val="single" w:sz="8" w:space="0" w:color="000000"/>
              <w:left w:val="single" w:sz="8" w:space="0" w:color="000000"/>
              <w:bottom w:val="double" w:sz="4" w:space="0" w:color="auto"/>
              <w:right w:val="single" w:sz="8" w:space="0" w:color="000000"/>
            </w:tcBorders>
            <w:shd w:val="clear" w:color="auto" w:fill="EAEAEA"/>
            <w:noWrap/>
            <w:tcMar>
              <w:top w:w="0" w:type="dxa"/>
              <w:left w:w="108" w:type="dxa"/>
              <w:bottom w:w="0" w:type="dxa"/>
              <w:right w:w="108" w:type="dxa"/>
            </w:tcMar>
            <w:vAlign w:val="center"/>
            <w:hideMark/>
          </w:tcPr>
          <w:p w:rsidR="00E847A6" w:rsidRPr="00EF535A" w:rsidRDefault="00E847A6" w:rsidP="007E50B3">
            <w:pPr>
              <w:ind w:left="170"/>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4903" w:type="dxa"/>
            <w:tcBorders>
              <w:top w:val="single" w:sz="8" w:space="0" w:color="000000"/>
              <w:left w:val="nil"/>
              <w:bottom w:val="double" w:sz="4" w:space="0" w:color="auto"/>
              <w:right w:val="single" w:sz="8" w:space="0" w:color="000000"/>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Właściwości oznakowania</w:t>
            </w:r>
          </w:p>
        </w:tc>
        <w:tc>
          <w:tcPr>
            <w:tcW w:w="3141" w:type="dxa"/>
            <w:tcBorders>
              <w:top w:val="single" w:sz="8" w:space="0" w:color="000000"/>
              <w:left w:val="nil"/>
              <w:bottom w:val="double" w:sz="4" w:space="0" w:color="auto"/>
              <w:right w:val="single" w:sz="8" w:space="0" w:color="000000"/>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Dozwolone odstępstwa wymiarowe</w:t>
            </w:r>
          </w:p>
        </w:tc>
      </w:tr>
      <w:tr w:rsidR="00E847A6" w:rsidRPr="00EF535A" w:rsidTr="007E50B3">
        <w:tc>
          <w:tcPr>
            <w:tcW w:w="851"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4903"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Szerokość linii oznakowania</w:t>
            </w:r>
          </w:p>
        </w:tc>
        <w:tc>
          <w:tcPr>
            <w:tcW w:w="3141"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 -5 mm  do +20 mm</w:t>
            </w:r>
          </w:p>
        </w:tc>
      </w:tr>
      <w:tr w:rsidR="00E847A6" w:rsidRPr="00EF535A" w:rsidTr="007E50B3">
        <w:tc>
          <w:tcPr>
            <w:tcW w:w="851"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4903"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Długość linii przerywanej</w:t>
            </w:r>
          </w:p>
        </w:tc>
        <w:tc>
          <w:tcPr>
            <w:tcW w:w="3141"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 -5 cm  do +15 cm</w:t>
            </w:r>
          </w:p>
        </w:tc>
      </w:tr>
      <w:tr w:rsidR="00E847A6" w:rsidRPr="00EF535A" w:rsidTr="007E50B3">
        <w:tc>
          <w:tcPr>
            <w:tcW w:w="851"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4903"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Długość modułu (linia + odstęp)</w:t>
            </w:r>
          </w:p>
        </w:tc>
        <w:tc>
          <w:tcPr>
            <w:tcW w:w="3141"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+15 cm</w:t>
            </w:r>
          </w:p>
        </w:tc>
      </w:tr>
      <w:tr w:rsidR="00E847A6" w:rsidRPr="00EF535A" w:rsidTr="007E50B3">
        <w:tc>
          <w:tcPr>
            <w:tcW w:w="851"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w:t>
            </w:r>
          </w:p>
        </w:tc>
        <w:tc>
          <w:tcPr>
            <w:tcW w:w="4903"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Umiejscowienie strzałek, symboli, napisów</w:t>
            </w:r>
          </w:p>
        </w:tc>
        <w:tc>
          <w:tcPr>
            <w:tcW w:w="3141"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 poprzek ±20 cm, wzdłuż ±100 cm</w:t>
            </w:r>
          </w:p>
        </w:tc>
      </w:tr>
      <w:tr w:rsidR="00E847A6" w:rsidRPr="00EF535A" w:rsidTr="007E50B3">
        <w:tc>
          <w:tcPr>
            <w:tcW w:w="851"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4903"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Odstęp poprzeczny linii podwójnych P3, P4, P5</w:t>
            </w:r>
          </w:p>
        </w:tc>
        <w:tc>
          <w:tcPr>
            <w:tcW w:w="3141"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±20 mm</w:t>
            </w:r>
          </w:p>
        </w:tc>
      </w:tr>
      <w:tr w:rsidR="00E847A6" w:rsidRPr="00EF535A" w:rsidTr="007E50B3">
        <w:tc>
          <w:tcPr>
            <w:tcW w:w="851" w:type="dxa"/>
            <w:tcBorders>
              <w:top w:val="nil"/>
              <w:left w:val="single" w:sz="8" w:space="0" w:color="000000"/>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6</w:t>
            </w:r>
          </w:p>
        </w:tc>
        <w:tc>
          <w:tcPr>
            <w:tcW w:w="4903"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Odstępstwo poprzeczne odnowionego oznakowania w stosunku do starego</w:t>
            </w:r>
          </w:p>
        </w:tc>
        <w:tc>
          <w:tcPr>
            <w:tcW w:w="3141" w:type="dxa"/>
            <w:tcBorders>
              <w:top w:val="nil"/>
              <w:left w:val="nil"/>
              <w:bottom w:val="single" w:sz="8" w:space="0" w:color="000000"/>
              <w:right w:val="single" w:sz="8" w:space="0" w:color="000000"/>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±5 cm/50 m ±2 cm</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lastRenderedPageBreak/>
        <w:t>6.5.2. </w:t>
      </w:r>
      <w:r w:rsidRPr="007078D3">
        <w:rPr>
          <w:rFonts w:ascii="Times New Roman" w:hAnsi="Times New Roman" w:cs="Times New Roman"/>
          <w:color w:val="000000"/>
          <w:szCs w:val="20"/>
        </w:rPr>
        <w:t>Tolerancje przy odnawianiu istniejącego oznakowania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Przy odnawianiu istniejącego oznakowania należy dążyć do pokrycia pełnej powierzchni istniejących znaków, przy zachowaniu dopuszczalnych tolerancji podanych w punkcie 6.4.1.</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09" w:name="_Toc505849080"/>
      <w:r w:rsidRPr="007078D3">
        <w:rPr>
          <w:rFonts w:ascii="Times New Roman" w:hAnsi="Times New Roman"/>
          <w:caps/>
          <w:color w:val="000000"/>
          <w:szCs w:val="20"/>
        </w:rPr>
        <w:t>7. OBMIAR ROBÓT</w:t>
      </w:r>
      <w:bookmarkEnd w:id="1309"/>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7.1. Ogólne zasady obmiaru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obmiaru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7.</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7.2. Jednostka obmiarowa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Jednostką obmiarową oznakowania poziomego jest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(metr kwadratowy) powierzchni naniesionych oznakowań lub liczba umieszczonych punktowych elementów odblaskowych.</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10" w:name="_Toc505849081"/>
      <w:r w:rsidRPr="007078D3">
        <w:rPr>
          <w:rFonts w:ascii="Times New Roman" w:hAnsi="Times New Roman"/>
          <w:caps/>
          <w:color w:val="000000"/>
          <w:szCs w:val="20"/>
        </w:rPr>
        <w:t>8. ODBIÓR ROBÓT</w:t>
      </w:r>
      <w:bookmarkEnd w:id="1310"/>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8.1. Ogólne zasady odbioru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odbioru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8.</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Roboty uznaje się za wykonane zgodnie z dokumentacją projektową, ST i wymaganiami Inżyniera, jeżeli wszystkie pomiary i badania z zachowaniem tolerancji według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6 dały wyniki pozytywne.</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8.2. Odbiór robót zanikających i ulegających zakryciu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Odbiór robót zanikających i ulegających zakryciu, w zależności od przyjętego sposobu wykonania robót, może być dokonany po:</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oczyszczeniu powierzchni nawierzchni,</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przedznakowaniu</w:t>
      </w:r>
      <w:r w:rsidRPr="007078D3">
        <w:rPr>
          <w:rFonts w:ascii="Times New Roman" w:hAnsi="Times New Roman" w:cs="Times New Roman"/>
          <w:color w:val="000000"/>
          <w:szCs w:val="20"/>
        </w:rPr>
        <w:t>,</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frezowaniu nawierzchni przed wykonaniem znakowania materiałem grubowarstwowym,</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usunięciu istniejącego oznakowania poziomego,</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wykonaniu podkładu (</w:t>
      </w:r>
      <w:r w:rsidRPr="007078D3">
        <w:rPr>
          <w:rStyle w:val="spelle"/>
          <w:rFonts w:ascii="Times New Roman" w:hAnsi="Times New Roman" w:cs="Times New Roman"/>
          <w:color w:val="000000"/>
          <w:szCs w:val="20"/>
        </w:rPr>
        <w:t>primera</w:t>
      </w:r>
      <w:r w:rsidRPr="007078D3">
        <w:rPr>
          <w:rFonts w:ascii="Times New Roman" w:hAnsi="Times New Roman" w:cs="Times New Roman"/>
          <w:color w:val="000000"/>
          <w:szCs w:val="20"/>
        </w:rPr>
        <w:t>) na nawierzchni betonowej.</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8.3. Odbiór ostateczny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Odbioru ostatecznego należy dokonać po całkowitym zakończeniu robót, na podstawie wyników pomiarów i badań jakościowych określonych w punktach od 2 do 6. Sprawdzeniu podlegają cechy oznakowania określone niniejszym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na podstawie badań wykonanych przed upływem okresu gwarancyjnego. Odbiór ostateczny polega na finalnej ocenie rzeczywistego wykonania robót w odniesieniu do ich ilości, jakości i wartości [24].   Odbioru ostatecznego robót dokonuje komisja wyznaczona przez Zamawiającego w obecności Inżyniera (Inspektora Nadzoru) i Wykonawcy. Komisja odbierająca roboty dokonuje ich oceny jakościowej na podstawie oceny wizualnej, przedłożonych dokumentów, wyników badań i pomiarów oraz zgodności wykonania oznakowania z dokumentacja projektową i ST.</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8.4. Odbiór pogwarancyjny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Odbiór pogwarancyjny polega na ocenie wykonanych robót związanych z usunięciem wad stwierdzonych w trakcie odbioru ostatecznego i zaistniałych w okresie gwarancyjnym. Odbiór pogwarancyjny zaleca się przeprowadzić w ciągu 1 miesiąca po upływie okresu gwarancyjnego, ustalonego w ST.</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8.5. Gwarancja jakościowa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Zaleca się stosowanie następujących minimalnych okresów gwarancyjnych [19]:</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a) dla oznakowania cienkowarstwowego:</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na odcinkach zamiejskich, z wyłączeniem przejść dla pieszych: co najmniej 12 miesięcy,</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na odcinkach przejść przez miejscowości: co najmniej 6 miesięcy,</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na przejściach dla pieszych na odcinkach zamiejskich: co najmniej 6 miesięcy,</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na przejściach dla pieszych w miejscowościach: co najmniej 3 miesiące,</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b)   dla oznakowania grubowarstwowego, oznakowania taśmami i punktowymi elementami odblaskowymi: co najmniej 24 miesiące.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następujących przypadkach należy uwzględnić ograniczenia okresów gwarancyjnych dla oznakowań:</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a) cienkowarstwowych</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dla wymalowań farbami nie udziela się 12 miesięcznej gwarancji na wykonane oznakowanie w przypadku nawierzchni, których czas użytkowania jest krótszy niż jeden rok oraz dla oznakowań wykonanych w okresie od 1 listopada do 31 marca,</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na nawierzchniach asfaltowych niejednorodnych o warstwie ścieralnej spękanej, kruszącej się, z luźnymi grysami, należy skrócić okres gwarancyjny dla linii segregacyjnych do 6 miesięcy, przejść dla pieszych i drobnych elementów do 3 miesięcy,</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na nawierzchniach kostkowych o równej powierzchni w dobrym stanie, pożądane jest skrócić okres gwarancyjny dla linii segregacyjnych do 3 miesięcy, przejść dla pieszych i drobnych elementów do 1 miesiąca,</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na nawierzchniach drogowych o silnie zdeformowanej, spękanej, łuszczącej się powierzchni, na złączach podłużnych jeśli są niejednorodne, tj. ze szczelinami, garbami podłużnymi i poprzecznymi, na nawierzchniach kostkowych w złym stanie (nierówna powierzchnia, kostka uszkodzona, braki kostki, luźne zanieczyszczenia w szczelinach między kostkami niemożliwe do usunięcia za pomocą szczotki i zamiatarki) - gwarancji nie powinno się udzielać,</w:t>
      </w:r>
    </w:p>
    <w:p w:rsidR="00E847A6" w:rsidRPr="007078D3" w:rsidRDefault="00E847A6" w:rsidP="00E847A6">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      w przypadku stosowania piasku lub piasku z solą do zimowego utrzymania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okres gwarancyjny należy skrócić do maksimum 9 miesięcy przy wymalowaniu wiosennym i do 6 miesięcy przy wymalowaniu jesiennym;</w:t>
      </w:r>
    </w:p>
    <w:p w:rsidR="00E847A6" w:rsidRPr="007078D3" w:rsidRDefault="00E847A6" w:rsidP="00E847A6">
      <w:pPr>
        <w:ind w:left="568" w:hanging="284"/>
        <w:rPr>
          <w:rFonts w:ascii="Times New Roman" w:hAnsi="Times New Roman" w:cs="Times New Roman"/>
          <w:color w:val="000000"/>
          <w:szCs w:val="20"/>
        </w:rPr>
      </w:pPr>
      <w:r w:rsidRPr="007078D3">
        <w:rPr>
          <w:rFonts w:ascii="Times New Roman" w:hAnsi="Times New Roman" w:cs="Times New Roman"/>
          <w:color w:val="000000"/>
          <w:szCs w:val="20"/>
        </w:rPr>
        <w:lastRenderedPageBreak/>
        <w:t>-      na nawierzchniach asfaltowych ułożonych do 1 miesiąca przed wykonaniem oznakowania (nawierzchnie nowe i odnowione) należy wymagać gwarancji maksymalnie 6 miesięcy przy minimalnych parametrach (R</w:t>
      </w:r>
      <w:r w:rsidRPr="007078D3">
        <w:rPr>
          <w:rFonts w:ascii="Times New Roman" w:hAnsi="Times New Roman" w:cs="Times New Roman"/>
          <w:color w:val="000000"/>
          <w:szCs w:val="20"/>
          <w:vertAlign w:val="subscript"/>
        </w:rPr>
        <w:t>L</w:t>
      </w:r>
      <w:r w:rsidRPr="007078D3">
        <w:rPr>
          <w:rFonts w:ascii="Times New Roman" w:hAnsi="Times New Roman" w:cs="Times New Roman"/>
          <w:color w:val="000000"/>
          <w:szCs w:val="20"/>
        </w:rPr>
        <w:t> &gt; 100 mcd/m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lx), po czym należy wykonać oznakowanie stałe z pełnymi wymaganiami odpowiednimi do rodzaju drogi.</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11" w:name="_Toc505849082"/>
      <w:r w:rsidRPr="007078D3">
        <w:rPr>
          <w:rFonts w:ascii="Times New Roman" w:hAnsi="Times New Roman"/>
          <w:caps/>
          <w:color w:val="000000"/>
          <w:szCs w:val="20"/>
        </w:rPr>
        <w:t>9. PODSTAWA PŁATNOŚCI</w:t>
      </w:r>
      <w:bookmarkEnd w:id="1311"/>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9.1. Ogólne ustalenia dotyczące podstawy płatności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ustalenia dotyczące podstawy płatności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9. Ponadto Zamawiający powinien tak sformułować umowę, aby Wykonawca musiał doprowadzić oznakowanie do wymagań zawartych w ST w przypadku zauważenia niezgodności.</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9.2. Cena jednostki obmiarowej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Cena 1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wykonania robót obejmuje:</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prace pomiarowe, roboty przygotowawcze i oznakowanie robót,</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przygotowanie i dostarczenie materiałów,</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oczyszczenie podłoża (nawierzchni),</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przedznakowanie</w:t>
      </w:r>
      <w:r w:rsidRPr="007078D3">
        <w:rPr>
          <w:rFonts w:ascii="Times New Roman" w:hAnsi="Times New Roman" w:cs="Times New Roman"/>
          <w:color w:val="000000"/>
          <w:szCs w:val="20"/>
        </w:rPr>
        <w:t>,</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naniesienie oznakowania na nawierzchnię drogi o kształtach i wymiarach zgodnych z dokumentacją projektową i załącznikiem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2 do rozporządzenia Ministra Infrastruktury [11],</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ochrona oznakowania przed zniszczeniem przez pojazdy w czasie prowadzenia robót,</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przeprowadzenie pomiarów i badań laboratoryjnych wymaganych w specyfikacji technicznej.</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12" w:name="_Toc505849083"/>
      <w:r w:rsidRPr="007078D3">
        <w:rPr>
          <w:rFonts w:ascii="Times New Roman" w:hAnsi="Times New Roman"/>
          <w:caps/>
          <w:color w:val="000000"/>
          <w:szCs w:val="20"/>
        </w:rPr>
        <w:t>10. PRZEPISY ZWIĄZANE</w:t>
      </w:r>
      <w:bookmarkEnd w:id="1312"/>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10.1. Normy</w:t>
      </w:r>
    </w:p>
    <w:tbl>
      <w:tblPr>
        <w:tblW w:w="10560" w:type="dxa"/>
        <w:shd w:val="clear" w:color="auto" w:fill="EAEAEA"/>
        <w:tblCellMar>
          <w:left w:w="0" w:type="dxa"/>
          <w:right w:w="0" w:type="dxa"/>
        </w:tblCellMar>
        <w:tblLook w:val="04A0"/>
      </w:tblPr>
      <w:tblGrid>
        <w:gridCol w:w="496"/>
        <w:gridCol w:w="2481"/>
        <w:gridCol w:w="7583"/>
      </w:tblGrid>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jc w:val="right"/>
              <w:rPr>
                <w:rFonts w:ascii="Times New Roman" w:hAnsi="Times New Roman" w:cs="Times New Roman"/>
                <w:szCs w:val="20"/>
              </w:rPr>
            </w:pPr>
            <w:r w:rsidRPr="007078D3">
              <w:rPr>
                <w:rFonts w:ascii="Times New Roman" w:hAnsi="Times New Roman" w:cs="Times New Roman"/>
                <w:szCs w:val="20"/>
                <w:lang w:val="de-DE"/>
              </w:rPr>
              <w:t>1.</w:t>
            </w:r>
          </w:p>
        </w:tc>
        <w:tc>
          <w:tcPr>
            <w:tcW w:w="2481"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lang w:val="de-DE"/>
              </w:rPr>
              <w:t>PN-EN 1436:2012</w:t>
            </w:r>
          </w:p>
        </w:tc>
        <w:tc>
          <w:tcPr>
            <w:tcW w:w="7583"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Materiały do poziomego oznakowania </w:t>
            </w:r>
            <w:r w:rsidRPr="007078D3">
              <w:rPr>
                <w:rStyle w:val="spelle"/>
                <w:rFonts w:ascii="Times New Roman" w:hAnsi="Times New Roman" w:cs="Times New Roman"/>
                <w:szCs w:val="20"/>
              </w:rPr>
              <w:t>dróg</w:t>
            </w:r>
            <w:r w:rsidRPr="007078D3">
              <w:rPr>
                <w:rFonts w:ascii="Times New Roman" w:hAnsi="Times New Roman" w:cs="Times New Roman"/>
                <w:szCs w:val="20"/>
              </w:rPr>
              <w:t> – Wymagania dotyczące poziomych oznakowań </w:t>
            </w:r>
            <w:r w:rsidRPr="007078D3">
              <w:rPr>
                <w:rStyle w:val="spelle"/>
                <w:rFonts w:ascii="Times New Roman" w:hAnsi="Times New Roman" w:cs="Times New Roman"/>
                <w:szCs w:val="20"/>
              </w:rPr>
              <w:t>dróg</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jc w:val="right"/>
              <w:rPr>
                <w:rFonts w:ascii="Times New Roman" w:hAnsi="Times New Roman" w:cs="Times New Roman"/>
                <w:szCs w:val="20"/>
              </w:rPr>
            </w:pPr>
            <w:r w:rsidRPr="007078D3">
              <w:rPr>
                <w:rFonts w:ascii="Times New Roman" w:hAnsi="Times New Roman" w:cs="Times New Roman"/>
                <w:szCs w:val="20"/>
              </w:rPr>
              <w:t>2.</w:t>
            </w:r>
          </w:p>
        </w:tc>
        <w:tc>
          <w:tcPr>
            <w:tcW w:w="2481"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lang w:val="en-US"/>
              </w:rPr>
              <w:t>PN-EN 1790:2014-02</w:t>
            </w:r>
          </w:p>
        </w:tc>
        <w:tc>
          <w:tcPr>
            <w:tcW w:w="7583"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Materiały do poziomego oznakowania </w:t>
            </w:r>
            <w:r w:rsidRPr="007078D3">
              <w:rPr>
                <w:rStyle w:val="spelle"/>
                <w:rFonts w:ascii="Times New Roman" w:hAnsi="Times New Roman" w:cs="Times New Roman"/>
                <w:szCs w:val="20"/>
              </w:rPr>
              <w:t>dróg</w:t>
            </w:r>
            <w:r w:rsidRPr="007078D3">
              <w:rPr>
                <w:rFonts w:ascii="Times New Roman" w:hAnsi="Times New Roman" w:cs="Times New Roman"/>
                <w:szCs w:val="20"/>
              </w:rPr>
              <w:t> - Prefabrykowane materiały do poziomego oznakowania </w:t>
            </w:r>
            <w:r w:rsidRPr="007078D3">
              <w:rPr>
                <w:rStyle w:val="spelle"/>
                <w:rFonts w:ascii="Times New Roman" w:hAnsi="Times New Roman" w:cs="Times New Roman"/>
                <w:szCs w:val="20"/>
              </w:rPr>
              <w:t>dróg</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jc w:val="right"/>
              <w:rPr>
                <w:rFonts w:ascii="Times New Roman" w:hAnsi="Times New Roman" w:cs="Times New Roman"/>
                <w:szCs w:val="20"/>
              </w:rPr>
            </w:pPr>
            <w:r w:rsidRPr="007078D3">
              <w:rPr>
                <w:rFonts w:ascii="Times New Roman" w:hAnsi="Times New Roman" w:cs="Times New Roman"/>
                <w:szCs w:val="20"/>
                <w:lang w:val="de-DE"/>
              </w:rPr>
              <w:t>3.</w:t>
            </w:r>
          </w:p>
        </w:tc>
        <w:tc>
          <w:tcPr>
            <w:tcW w:w="2481"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1423:2012</w:t>
            </w:r>
          </w:p>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lang w:val="de-DE"/>
              </w:rPr>
              <w:t> </w:t>
            </w:r>
          </w:p>
        </w:tc>
        <w:tc>
          <w:tcPr>
            <w:tcW w:w="7583" w:type="dxa"/>
            <w:shd w:val="clear" w:color="auto" w:fill="EAEAEA"/>
            <w:tcMar>
              <w:top w:w="0" w:type="dxa"/>
              <w:left w:w="70" w:type="dxa"/>
              <w:bottom w:w="0" w:type="dxa"/>
              <w:right w:w="70" w:type="dxa"/>
            </w:tcMar>
            <w:hideMark/>
          </w:tcPr>
          <w:p w:rsidR="00E847A6" w:rsidRPr="007078D3" w:rsidRDefault="00E847A6" w:rsidP="007E50B3">
            <w:pPr>
              <w:pStyle w:val="Tekstprzypisudolnego"/>
              <w:spacing w:before="0" w:beforeAutospacing="0" w:after="0" w:afterAutospacing="0"/>
              <w:jc w:val="both"/>
              <w:rPr>
                <w:sz w:val="20"/>
                <w:szCs w:val="20"/>
              </w:rPr>
            </w:pPr>
            <w:r w:rsidRPr="007078D3">
              <w:rPr>
                <w:sz w:val="20"/>
                <w:szCs w:val="20"/>
              </w:rPr>
              <w:t>Materiały do poziomego oznakowania </w:t>
            </w:r>
            <w:r w:rsidRPr="007078D3">
              <w:rPr>
                <w:rStyle w:val="spelle"/>
                <w:rFonts w:eastAsiaTheme="majorEastAsia"/>
                <w:sz w:val="20"/>
                <w:szCs w:val="20"/>
              </w:rPr>
              <w:t>dróg</w:t>
            </w:r>
            <w:r w:rsidRPr="007078D3">
              <w:rPr>
                <w:sz w:val="20"/>
                <w:szCs w:val="20"/>
              </w:rPr>
              <w:t> - Materiały do posypywania. Kulki szklane, kruszywo przeciwpoślizgowe i ich mieszaniny</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jc w:val="right"/>
              <w:rPr>
                <w:rFonts w:ascii="Times New Roman" w:hAnsi="Times New Roman" w:cs="Times New Roman"/>
                <w:szCs w:val="20"/>
              </w:rPr>
            </w:pPr>
            <w:r w:rsidRPr="007078D3">
              <w:rPr>
                <w:rFonts w:ascii="Times New Roman" w:hAnsi="Times New Roman" w:cs="Times New Roman"/>
                <w:szCs w:val="20"/>
                <w:lang w:val="de-DE"/>
              </w:rPr>
              <w:t>4.</w:t>
            </w:r>
          </w:p>
        </w:tc>
        <w:tc>
          <w:tcPr>
            <w:tcW w:w="2481" w:type="dxa"/>
            <w:shd w:val="clear" w:color="auto" w:fill="EAEAEA"/>
            <w:tcMar>
              <w:top w:w="0" w:type="dxa"/>
              <w:left w:w="70" w:type="dxa"/>
              <w:bottom w:w="0" w:type="dxa"/>
              <w:right w:w="70" w:type="dxa"/>
            </w:tcMar>
            <w:hideMark/>
          </w:tcPr>
          <w:p w:rsidR="00E847A6" w:rsidRPr="007078D3" w:rsidRDefault="00E847A6" w:rsidP="007E50B3">
            <w:pPr>
              <w:pStyle w:val="Nagwek"/>
              <w:rPr>
                <w:rFonts w:ascii="Times New Roman" w:hAnsi="Times New Roman" w:cs="Times New Roman"/>
                <w:szCs w:val="20"/>
              </w:rPr>
            </w:pPr>
            <w:r w:rsidRPr="007078D3">
              <w:rPr>
                <w:rFonts w:ascii="Times New Roman" w:hAnsi="Times New Roman" w:cs="Times New Roman"/>
                <w:szCs w:val="20"/>
                <w:lang w:val="de-DE"/>
              </w:rPr>
              <w:t>PN-EN 1463-1:2009</w:t>
            </w:r>
          </w:p>
        </w:tc>
        <w:tc>
          <w:tcPr>
            <w:tcW w:w="7583" w:type="dxa"/>
            <w:shd w:val="clear" w:color="auto" w:fill="EAEAEA"/>
            <w:tcMar>
              <w:top w:w="0" w:type="dxa"/>
              <w:left w:w="70" w:type="dxa"/>
              <w:bottom w:w="0" w:type="dxa"/>
              <w:right w:w="70" w:type="dxa"/>
            </w:tcMar>
            <w:hideMark/>
          </w:tcPr>
          <w:p w:rsidR="00E847A6" w:rsidRPr="007078D3" w:rsidRDefault="00E847A6" w:rsidP="007E50B3">
            <w:pPr>
              <w:pStyle w:val="Tekstprzypisudolnego"/>
              <w:spacing w:before="0" w:beforeAutospacing="0" w:after="0" w:afterAutospacing="0"/>
              <w:jc w:val="both"/>
              <w:rPr>
                <w:sz w:val="20"/>
                <w:szCs w:val="20"/>
              </w:rPr>
            </w:pPr>
            <w:r w:rsidRPr="007078D3">
              <w:rPr>
                <w:sz w:val="20"/>
                <w:szCs w:val="20"/>
              </w:rPr>
              <w:t>Materiały do poziomego oznakowania </w:t>
            </w:r>
            <w:r w:rsidRPr="007078D3">
              <w:rPr>
                <w:rStyle w:val="spelle"/>
                <w:rFonts w:eastAsiaTheme="majorEastAsia"/>
                <w:sz w:val="20"/>
                <w:szCs w:val="20"/>
              </w:rPr>
              <w:t>dróg</w:t>
            </w:r>
            <w:r w:rsidRPr="007078D3">
              <w:rPr>
                <w:sz w:val="20"/>
                <w:szCs w:val="20"/>
              </w:rPr>
              <w:t> - Punktowe elementy odblaskowe Część 1: Wymagania dotyczące charakterystyki nowego elementu</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jc w:val="right"/>
              <w:rPr>
                <w:rFonts w:ascii="Times New Roman" w:hAnsi="Times New Roman" w:cs="Times New Roman"/>
                <w:szCs w:val="20"/>
              </w:rPr>
            </w:pPr>
            <w:r w:rsidRPr="007078D3">
              <w:rPr>
                <w:rFonts w:ascii="Times New Roman" w:hAnsi="Times New Roman" w:cs="Times New Roman"/>
                <w:szCs w:val="20"/>
                <w:lang w:val="en-US"/>
              </w:rPr>
              <w:t>5.</w:t>
            </w:r>
          </w:p>
        </w:tc>
        <w:tc>
          <w:tcPr>
            <w:tcW w:w="2481" w:type="dxa"/>
            <w:shd w:val="clear" w:color="auto" w:fill="EAEAEA"/>
            <w:tcMar>
              <w:top w:w="0" w:type="dxa"/>
              <w:left w:w="70" w:type="dxa"/>
              <w:bottom w:w="0" w:type="dxa"/>
              <w:right w:w="70" w:type="dxa"/>
            </w:tcMar>
            <w:hideMark/>
          </w:tcPr>
          <w:p w:rsidR="00E847A6" w:rsidRPr="007078D3" w:rsidRDefault="00E847A6" w:rsidP="007E50B3">
            <w:pPr>
              <w:pStyle w:val="Nagwek"/>
              <w:rPr>
                <w:rFonts w:ascii="Times New Roman" w:hAnsi="Times New Roman" w:cs="Times New Roman"/>
                <w:szCs w:val="20"/>
              </w:rPr>
            </w:pPr>
            <w:r w:rsidRPr="007078D3">
              <w:rPr>
                <w:rFonts w:ascii="Times New Roman" w:hAnsi="Times New Roman" w:cs="Times New Roman"/>
                <w:szCs w:val="20"/>
              </w:rPr>
              <w:t>PN-EN 1463-2:2003</w:t>
            </w:r>
          </w:p>
        </w:tc>
        <w:tc>
          <w:tcPr>
            <w:tcW w:w="7583" w:type="dxa"/>
            <w:shd w:val="clear" w:color="auto" w:fill="EAEAEA"/>
            <w:tcMar>
              <w:top w:w="0" w:type="dxa"/>
              <w:left w:w="70" w:type="dxa"/>
              <w:bottom w:w="0" w:type="dxa"/>
              <w:right w:w="70" w:type="dxa"/>
            </w:tcMar>
            <w:hideMark/>
          </w:tcPr>
          <w:p w:rsidR="00E847A6" w:rsidRPr="007078D3" w:rsidRDefault="00E847A6" w:rsidP="007E50B3">
            <w:pPr>
              <w:pStyle w:val="Tekstprzypisudolnego"/>
              <w:spacing w:before="0" w:beforeAutospacing="0" w:after="0" w:afterAutospacing="0"/>
              <w:jc w:val="both"/>
              <w:rPr>
                <w:sz w:val="20"/>
                <w:szCs w:val="20"/>
              </w:rPr>
            </w:pPr>
            <w:r w:rsidRPr="007078D3">
              <w:rPr>
                <w:sz w:val="20"/>
                <w:szCs w:val="20"/>
              </w:rPr>
              <w:t>Materiały do poziomego oznakowania </w:t>
            </w:r>
            <w:r w:rsidRPr="007078D3">
              <w:rPr>
                <w:rStyle w:val="spelle"/>
                <w:rFonts w:eastAsiaTheme="majorEastAsia"/>
                <w:sz w:val="20"/>
                <w:szCs w:val="20"/>
              </w:rPr>
              <w:t>dróg</w:t>
            </w:r>
            <w:r w:rsidRPr="007078D3">
              <w:rPr>
                <w:sz w:val="20"/>
                <w:szCs w:val="20"/>
              </w:rPr>
              <w:t> - Punktowe elementy odblaskowe Część 2: Badania terenowe</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jc w:val="right"/>
              <w:rPr>
                <w:rFonts w:ascii="Times New Roman" w:hAnsi="Times New Roman" w:cs="Times New Roman"/>
                <w:szCs w:val="20"/>
              </w:rPr>
            </w:pPr>
            <w:r w:rsidRPr="007078D3">
              <w:rPr>
                <w:rFonts w:ascii="Times New Roman" w:hAnsi="Times New Roman" w:cs="Times New Roman"/>
                <w:szCs w:val="20"/>
              </w:rPr>
              <w:t>6.</w:t>
            </w:r>
          </w:p>
        </w:tc>
        <w:tc>
          <w:tcPr>
            <w:tcW w:w="2481"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PN-O-79252:2001</w:t>
            </w:r>
          </w:p>
        </w:tc>
        <w:tc>
          <w:tcPr>
            <w:tcW w:w="7583"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Opakowania transportowe z zawartością - Znaki i znakowanie - Wymagania podstawowe</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jc w:val="right"/>
              <w:rPr>
                <w:rFonts w:ascii="Times New Roman" w:hAnsi="Times New Roman" w:cs="Times New Roman"/>
                <w:szCs w:val="20"/>
              </w:rPr>
            </w:pPr>
            <w:r w:rsidRPr="007078D3">
              <w:rPr>
                <w:rFonts w:ascii="Times New Roman" w:hAnsi="Times New Roman" w:cs="Times New Roman"/>
                <w:szCs w:val="20"/>
              </w:rPr>
              <w:t>7.</w:t>
            </w:r>
          </w:p>
        </w:tc>
        <w:tc>
          <w:tcPr>
            <w:tcW w:w="2481"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PN-C-81400:1989</w:t>
            </w:r>
          </w:p>
        </w:tc>
        <w:tc>
          <w:tcPr>
            <w:tcW w:w="7583"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Wyroby lakierowe. Pakowanie, przechowywanie i transport</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jc w:val="right"/>
              <w:rPr>
                <w:rFonts w:ascii="Times New Roman" w:hAnsi="Times New Roman" w:cs="Times New Roman"/>
                <w:szCs w:val="20"/>
              </w:rPr>
            </w:pPr>
            <w:r w:rsidRPr="007078D3">
              <w:rPr>
                <w:rFonts w:ascii="Times New Roman" w:hAnsi="Times New Roman" w:cs="Times New Roman"/>
                <w:szCs w:val="20"/>
              </w:rPr>
              <w:t>8.</w:t>
            </w:r>
          </w:p>
        </w:tc>
        <w:tc>
          <w:tcPr>
            <w:tcW w:w="2481" w:type="dxa"/>
            <w:shd w:val="clear" w:color="auto" w:fill="EAEAEA"/>
            <w:tcMar>
              <w:top w:w="0" w:type="dxa"/>
              <w:left w:w="70" w:type="dxa"/>
              <w:bottom w:w="0" w:type="dxa"/>
              <w:right w:w="70" w:type="dxa"/>
            </w:tcMar>
            <w:hideMark/>
          </w:tcPr>
          <w:p w:rsidR="00E847A6" w:rsidRPr="007078D3" w:rsidRDefault="00E847A6" w:rsidP="007E50B3">
            <w:pPr>
              <w:pStyle w:val="Nagwek"/>
              <w:rPr>
                <w:rFonts w:ascii="Times New Roman" w:hAnsi="Times New Roman" w:cs="Times New Roman"/>
                <w:szCs w:val="20"/>
              </w:rPr>
            </w:pPr>
            <w:r w:rsidRPr="007078D3">
              <w:rPr>
                <w:rFonts w:ascii="Times New Roman" w:hAnsi="Times New Roman" w:cs="Times New Roman"/>
                <w:szCs w:val="20"/>
              </w:rPr>
              <w:t>PN-EN 1871:2003</w:t>
            </w:r>
          </w:p>
        </w:tc>
        <w:tc>
          <w:tcPr>
            <w:tcW w:w="7583" w:type="dxa"/>
            <w:shd w:val="clear" w:color="auto" w:fill="EAEAEA"/>
            <w:tcMar>
              <w:top w:w="0" w:type="dxa"/>
              <w:left w:w="70" w:type="dxa"/>
              <w:bottom w:w="0" w:type="dxa"/>
              <w:right w:w="70" w:type="dxa"/>
            </w:tcMar>
            <w:hideMark/>
          </w:tcPr>
          <w:p w:rsidR="00E847A6" w:rsidRPr="007078D3" w:rsidRDefault="00E847A6" w:rsidP="007E50B3">
            <w:pPr>
              <w:pStyle w:val="Tekstprzypisudolnego"/>
              <w:spacing w:before="0" w:beforeAutospacing="0" w:after="0" w:afterAutospacing="0"/>
              <w:jc w:val="both"/>
              <w:rPr>
                <w:sz w:val="20"/>
                <w:szCs w:val="20"/>
              </w:rPr>
            </w:pPr>
            <w:r w:rsidRPr="007078D3">
              <w:rPr>
                <w:sz w:val="20"/>
                <w:szCs w:val="20"/>
              </w:rPr>
              <w:t>Materiały do poziomego oznakowania </w:t>
            </w:r>
            <w:r w:rsidRPr="007078D3">
              <w:rPr>
                <w:rStyle w:val="spelle"/>
                <w:rFonts w:eastAsiaTheme="majorEastAsia"/>
                <w:sz w:val="20"/>
                <w:szCs w:val="20"/>
              </w:rPr>
              <w:t>dróg</w:t>
            </w:r>
            <w:r w:rsidRPr="007078D3">
              <w:rPr>
                <w:sz w:val="20"/>
                <w:szCs w:val="20"/>
              </w:rPr>
              <w:t> - Właściwości fizyczne</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jc w:val="right"/>
              <w:rPr>
                <w:rFonts w:ascii="Times New Roman" w:hAnsi="Times New Roman" w:cs="Times New Roman"/>
                <w:szCs w:val="20"/>
              </w:rPr>
            </w:pPr>
            <w:r w:rsidRPr="007078D3">
              <w:rPr>
                <w:rFonts w:ascii="Times New Roman" w:hAnsi="Times New Roman" w:cs="Times New Roman"/>
                <w:szCs w:val="20"/>
              </w:rPr>
              <w:t>9.</w:t>
            </w:r>
          </w:p>
        </w:tc>
        <w:tc>
          <w:tcPr>
            <w:tcW w:w="2481" w:type="dxa"/>
            <w:shd w:val="clear" w:color="auto" w:fill="EAEAEA"/>
            <w:tcMar>
              <w:top w:w="0" w:type="dxa"/>
              <w:left w:w="70" w:type="dxa"/>
              <w:bottom w:w="0" w:type="dxa"/>
              <w:right w:w="70" w:type="dxa"/>
            </w:tcMar>
            <w:hideMark/>
          </w:tcPr>
          <w:p w:rsidR="00E847A6" w:rsidRPr="007078D3" w:rsidRDefault="00E847A6" w:rsidP="007E50B3">
            <w:pPr>
              <w:pStyle w:val="Nagwek"/>
              <w:rPr>
                <w:rFonts w:ascii="Times New Roman" w:hAnsi="Times New Roman" w:cs="Times New Roman"/>
                <w:szCs w:val="20"/>
              </w:rPr>
            </w:pPr>
            <w:r w:rsidRPr="007078D3">
              <w:rPr>
                <w:rFonts w:ascii="Times New Roman" w:hAnsi="Times New Roman" w:cs="Times New Roman"/>
                <w:szCs w:val="20"/>
                <w:lang w:val="de-DE"/>
              </w:rPr>
              <w:t>PN-EN 13036-4: 2011</w:t>
            </w:r>
          </w:p>
        </w:tc>
        <w:tc>
          <w:tcPr>
            <w:tcW w:w="7583" w:type="dxa"/>
            <w:shd w:val="clear" w:color="auto" w:fill="EAEAEA"/>
            <w:tcMar>
              <w:top w:w="0" w:type="dxa"/>
              <w:left w:w="70" w:type="dxa"/>
              <w:bottom w:w="0" w:type="dxa"/>
              <w:right w:w="70" w:type="dxa"/>
            </w:tcMar>
            <w:hideMark/>
          </w:tcPr>
          <w:p w:rsidR="00E847A6" w:rsidRPr="007078D3" w:rsidRDefault="00E847A6" w:rsidP="007E50B3">
            <w:pPr>
              <w:pStyle w:val="Tekstprzypisudolnego"/>
              <w:spacing w:before="0" w:beforeAutospacing="0" w:after="0" w:afterAutospacing="0"/>
              <w:jc w:val="both"/>
              <w:rPr>
                <w:sz w:val="20"/>
                <w:szCs w:val="20"/>
              </w:rPr>
            </w:pPr>
            <w:r w:rsidRPr="007078D3">
              <w:rPr>
                <w:sz w:val="20"/>
                <w:szCs w:val="20"/>
              </w:rPr>
              <w:t>Drogi samochodowe i lotniskowe – Metody badań – Część 4: Metoda pomiaru oporów poślizgu/poślizgnięcia na powierzchni: Próba wahadła</w:t>
            </w:r>
          </w:p>
        </w:tc>
      </w:tr>
    </w:tbl>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10.2. Przepisy związane i inne dokumenty</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10.     Rozporządzenie Ministra Infrastruktury, Spraw Wewnętrznych i Administracji z dnia 12 października 2002 r. w sprawie znaków i symboli drogowych (Dz. U.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170, poz. 1393)</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11.     Załącznik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2 do rozporządzenia Ministra Infrastruktury z dnia 3 lipca 2003 r. w sprawie szczegółowych warunków technicznych dla znaków i sygnałów drogowych oraz urządzeń bezpieczeństwa ruchu drogowego i warunków ich umieszczania na drogach (Dz. U. Nr 220, poz. 2181 z </w:t>
      </w:r>
      <w:r w:rsidRPr="007078D3">
        <w:rPr>
          <w:rStyle w:val="spelle"/>
          <w:rFonts w:ascii="Times New Roman" w:hAnsi="Times New Roman" w:cs="Times New Roman"/>
          <w:color w:val="000000"/>
          <w:szCs w:val="20"/>
        </w:rPr>
        <w:t>późn</w:t>
      </w:r>
      <w:r w:rsidRPr="007078D3">
        <w:rPr>
          <w:rFonts w:ascii="Times New Roman" w:hAnsi="Times New Roman" w:cs="Times New Roman"/>
          <w:color w:val="000000"/>
          <w:szCs w:val="20"/>
        </w:rPr>
        <w:t>. zm.)</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12.     Rozporządzenie Parlamentu Europejskiego i Rady (UE) Nr 305/2011 z dnia 9 marca 2011 r. ustanawiające zharmonizowane warunki wprowadzania do obrotu wyrobów budowlanych i uchylające dyrektywę Rady 89/106/EWG</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13.     Rozporządzenie Ministra  Infrastruktury z dnia 17 listopada 2016 w sprawie sposobu deklarowania właściwości użytkowych wyrobów budowlanych oraz sposobu ich znakowania znakiem budowlanym (Dz. U. poz.1966)</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14.     Ustawa z 16 kwietnia 2004 r. o wyrobach budowlanych (tekst jednolity Dz. U. z 2016 r. poz.1570 z </w:t>
      </w:r>
      <w:r w:rsidRPr="007078D3">
        <w:rPr>
          <w:rStyle w:val="spelle"/>
          <w:rFonts w:ascii="Times New Roman" w:hAnsi="Times New Roman" w:cs="Times New Roman"/>
          <w:color w:val="000000"/>
          <w:szCs w:val="20"/>
        </w:rPr>
        <w:t>późn</w:t>
      </w:r>
      <w:r w:rsidRPr="007078D3">
        <w:rPr>
          <w:rFonts w:ascii="Times New Roman" w:hAnsi="Times New Roman" w:cs="Times New Roman"/>
          <w:color w:val="000000"/>
          <w:szCs w:val="20"/>
        </w:rPr>
        <w:t>. zm.)</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15.     Rozporządzenie Ministra  Infrastruktury i Budownictwa z dnia 17 listopada 2016 r. w sprawie krajowych ocen technicznych (Dz. U. poz. 1968)</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16.     Ustawa o systemach zgodności z 13 kwietnia 2016 r. (</w:t>
      </w:r>
      <w:r w:rsidRPr="007078D3">
        <w:rPr>
          <w:rStyle w:val="spelle"/>
          <w:rFonts w:ascii="Times New Roman" w:hAnsi="Times New Roman" w:cs="Times New Roman"/>
          <w:color w:val="000000"/>
          <w:szCs w:val="20"/>
        </w:rPr>
        <w:t>Dz.U</w:t>
      </w:r>
      <w:r w:rsidRPr="007078D3">
        <w:rPr>
          <w:rFonts w:ascii="Times New Roman" w:hAnsi="Times New Roman" w:cs="Times New Roman"/>
          <w:color w:val="000000"/>
          <w:szCs w:val="20"/>
        </w:rPr>
        <w:t>. poz. 542 i 1228)</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17.     Vademecum poziomego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Zenon Szczepaniak, Seria „S” – Studia i Materiały. Zeszyt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76, IBDiM, Warszawa, 2015</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18.     Rozporządzenie Ministra Zdrowia z dnia 30 marca 2015 r. w sprawie oznakowania opakowań substancji niebezpiecznych (Dz. U. poz. 450)</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19.     Warunki Techniczne. Poziome oznakowanie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POD-97, I-55, IBDiM, Warszawa, 1997</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20.     Zrestrukturyzowana Umowa ADR – umowa europejska dotycząca międzynarodowego przewozu drogowego towarów niebezpiecznych (Dz. U. z 2011 r.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110 poz. 641)</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21.     Prawo przewozowe (tekst jednolity Dz. U. z 2017 r. poz. 1983)</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22.     Zarządzenie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34 Generalnego Dyrektora Dróg Krajowych i Autostrad z dnia 30 kwietnia 2015 r. w sprawie diagnostyki stanu nawierzchni i jej elementów</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23.     Podręcznik oznakowania poziomego, Linia Życia, Wrocław, 2011</w:t>
      </w:r>
    </w:p>
    <w:p w:rsidR="00E847A6" w:rsidRPr="007078D3" w:rsidRDefault="00E847A6" w:rsidP="00E847A6">
      <w:pPr>
        <w:ind w:left="709" w:hanging="426"/>
        <w:rPr>
          <w:rFonts w:ascii="Times New Roman" w:hAnsi="Times New Roman" w:cs="Times New Roman"/>
          <w:color w:val="000000"/>
          <w:szCs w:val="20"/>
        </w:rPr>
      </w:pPr>
      <w:r w:rsidRPr="007078D3">
        <w:rPr>
          <w:rFonts w:ascii="Times New Roman" w:hAnsi="Times New Roman" w:cs="Times New Roman"/>
          <w:color w:val="000000"/>
          <w:szCs w:val="20"/>
        </w:rPr>
        <w:t>24.     Prawo zamówień publicznych (tekst jednolity Dz. U. z</w:t>
      </w: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bookmarkStart w:id="1313" w:name="_Toc159566052"/>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Pr="007078D3" w:rsidRDefault="00E847A6" w:rsidP="00E847A6">
      <w:pPr>
        <w:pStyle w:val="Bezodstpw"/>
        <w:spacing w:line="240" w:lineRule="auto"/>
        <w:rPr>
          <w:rFonts w:ascii="Times New Roman" w:hAnsi="Times New Roman" w:cs="Times New Roman"/>
          <w:sz w:val="20"/>
          <w:szCs w:val="20"/>
          <w:lang w:eastAsia="pl-PL"/>
        </w:rPr>
      </w:pPr>
      <w:bookmarkStart w:id="1314" w:name="_Toc178934400"/>
      <w:bookmarkStart w:id="1315" w:name="_Toc221170394"/>
      <w:r w:rsidRPr="007078D3">
        <w:rPr>
          <w:rFonts w:ascii="Times New Roman" w:hAnsi="Times New Roman" w:cs="Times New Roman"/>
          <w:sz w:val="20"/>
          <w:szCs w:val="20"/>
          <w:lang w:eastAsia="pl-PL"/>
        </w:rPr>
        <w:t>D-07.02.01a OZNAKOWANIE  PIONOWE</w:t>
      </w:r>
      <w:bookmarkEnd w:id="1313"/>
      <w:bookmarkEnd w:id="1314"/>
      <w:bookmarkEnd w:id="1315"/>
    </w:p>
    <w:p w:rsidR="00E847A6" w:rsidRPr="007078D3" w:rsidRDefault="00E847A6" w:rsidP="00E847A6">
      <w:pPr>
        <w:rPr>
          <w:rFonts w:ascii="Times New Roman" w:hAnsi="Times New Roman" w:cs="Times New Roman"/>
          <w:szCs w:val="20"/>
          <w:lang w:eastAsia="pl-PL"/>
        </w:rPr>
      </w:pPr>
    </w:p>
    <w:p w:rsidR="00E847A6" w:rsidRPr="007078D3" w:rsidRDefault="00E847A6" w:rsidP="00E847A6">
      <w:pPr>
        <w:rPr>
          <w:rFonts w:ascii="Times New Roman" w:hAnsi="Times New Roman" w:cs="Times New Roman"/>
          <w:szCs w:val="20"/>
        </w:rPr>
      </w:pPr>
      <w:bookmarkStart w:id="1316" w:name="_Toc131916637"/>
      <w:r w:rsidRPr="007078D3">
        <w:rPr>
          <w:rFonts w:ascii="Times New Roman" w:hAnsi="Times New Roman" w:cs="Times New Roman"/>
          <w:szCs w:val="20"/>
        </w:rPr>
        <w:t>1. WSTĘP</w:t>
      </w:r>
      <w:bookmarkEnd w:id="1316"/>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1.1. Przedmiot SST</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ab/>
        <w:t>Przedmiotem niniejszej ogólnej specyfikacji technicznej (SST) są wymagania dotyczące wykonania i odbioru oznakowania pionowego.</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1.2. Zakres stosowania SST</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Szczegółowa specyfikacja techniczna dotyczy robót wyszczególnionych w punkcie 1.3.</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r w:rsidRPr="007078D3">
        <w:rPr>
          <w:rFonts w:ascii="Times New Roman" w:hAnsi="Times New Roman" w:cs="Times New Roman"/>
          <w:szCs w:val="20"/>
        </w:rPr>
        <w:t>1.3. Zakres robót objętych SST</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i/>
          <w:iCs/>
          <w:szCs w:val="20"/>
        </w:rPr>
      </w:pPr>
      <w:r w:rsidRPr="007078D3">
        <w:rPr>
          <w:rFonts w:ascii="Times New Roman" w:hAnsi="Times New Roman" w:cs="Times New Roman"/>
          <w:i/>
          <w:szCs w:val="20"/>
        </w:rPr>
        <w:t>Ustalenia niniejszej specyfikacji technicznej dotyczą wykonania oznakowania pionowego.</w:t>
      </w:r>
    </w:p>
    <w:p w:rsidR="00E847A6" w:rsidRPr="007078D3" w:rsidRDefault="00E847A6" w:rsidP="00E847A6">
      <w:pPr>
        <w:rPr>
          <w:rFonts w:ascii="Times New Roman" w:hAnsi="Times New Roman" w:cs="Times New Roman"/>
          <w:szCs w:val="20"/>
        </w:rPr>
      </w:pP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1.4. Określenia podstawowe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1.4.1. </w:t>
      </w:r>
      <w:r w:rsidRPr="007078D3">
        <w:rPr>
          <w:rFonts w:ascii="Times New Roman" w:hAnsi="Times New Roman" w:cs="Times New Roman"/>
          <w:color w:val="000000"/>
          <w:szCs w:val="20"/>
        </w:rPr>
        <w:t>Znak drogowy pionowy – element wyposażenia drogi zamocowany na stałe lub przenośny, służący do ostrzegania, prowadzenia i informowania użytkowników drogi. Znak drogowy pionowy składa się z lica umieszczonego na tarczy. Zestaw znaku drogowego obejmuje znak drogowy pionowy umieszczony na konstrukcji wsporczej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1.4.2. </w:t>
      </w:r>
      <w:r w:rsidRPr="007078D3">
        <w:rPr>
          <w:rFonts w:ascii="Times New Roman" w:hAnsi="Times New Roman" w:cs="Times New Roman"/>
          <w:color w:val="000000"/>
          <w:szCs w:val="20"/>
        </w:rPr>
        <w:t>Tarcza znaku – to płaskie podłoże bez lub z elementami wzmacniającymi (profil montażowy) i z krawędzią usztywnioną profilem lub podwójnie zagiętą, na którym w sposób trwały jest umieszczone lico znaku. Tarcza może być wykonana z blachy stalowej ocynkowanej ogniowo, aluminiowej zabezpieczonej przed procesami korozji powłokami ochronnymi zapewniającymi jakość i trwałość wykonanego znaku, z płyty warstwowej lub z innego materiału zapewniającego odpowiednią do przeznaczenia trwałość.</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1.4.3. </w:t>
      </w:r>
      <w:r w:rsidRPr="007078D3">
        <w:rPr>
          <w:rFonts w:ascii="Times New Roman" w:hAnsi="Times New Roman" w:cs="Times New Roman"/>
          <w:color w:val="000000"/>
          <w:szCs w:val="20"/>
        </w:rPr>
        <w:t>Lico znaku - to przednia część znaku, wykonana z samoprzylepnej folii odblaskowej lub </w:t>
      </w:r>
      <w:r w:rsidRPr="007078D3">
        <w:rPr>
          <w:rStyle w:val="spelle"/>
          <w:rFonts w:ascii="Times New Roman" w:hAnsi="Times New Roman" w:cs="Times New Roman"/>
          <w:color w:val="000000"/>
          <w:szCs w:val="20"/>
        </w:rPr>
        <w:t>nieodblaskowej</w:t>
      </w:r>
      <w:r w:rsidRPr="007078D3">
        <w:rPr>
          <w:rFonts w:ascii="Times New Roman" w:hAnsi="Times New Roman" w:cs="Times New Roman"/>
          <w:color w:val="000000"/>
          <w:szCs w:val="20"/>
        </w:rPr>
        <w:t> z naniesioną treścią: wykonaną techniką druku sitowego, druku cyfrowego, wyklejaną z transparentnych folii ploterowych lub z folii odblaskowych lub </w:t>
      </w:r>
      <w:r w:rsidRPr="007078D3">
        <w:rPr>
          <w:rStyle w:val="spelle"/>
          <w:rFonts w:ascii="Times New Roman" w:hAnsi="Times New Roman" w:cs="Times New Roman"/>
          <w:color w:val="000000"/>
          <w:szCs w:val="20"/>
        </w:rPr>
        <w:t>nieodblaskowych</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1.4.4. </w:t>
      </w:r>
      <w:r w:rsidRPr="007078D3">
        <w:rPr>
          <w:rFonts w:ascii="Times New Roman" w:hAnsi="Times New Roman" w:cs="Times New Roman"/>
          <w:color w:val="000000"/>
          <w:szCs w:val="20"/>
        </w:rPr>
        <w:t>Uchwyt mocujący - element stalowy, aluminiowy lub z tworzywa sztucznego zabezpieczony przed korozją, służący do zamocowania w sposób rozłączny tarczy znaku do konstrukcji wsporczej.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1.4.5. </w:t>
      </w:r>
      <w:r w:rsidRPr="007078D3">
        <w:rPr>
          <w:rFonts w:ascii="Times New Roman" w:hAnsi="Times New Roman" w:cs="Times New Roman"/>
          <w:color w:val="000000"/>
          <w:szCs w:val="20"/>
        </w:rPr>
        <w:t>Znak drogowy odblaskowy - znak, którego lico wykazuje właściwości odblaskowe (wykonane jest z materiału o odbiciu powrotnym - </w:t>
      </w:r>
      <w:r w:rsidRPr="007078D3">
        <w:rPr>
          <w:rStyle w:val="spelle"/>
          <w:rFonts w:ascii="Times New Roman" w:hAnsi="Times New Roman" w:cs="Times New Roman"/>
          <w:color w:val="000000"/>
          <w:szCs w:val="20"/>
        </w:rPr>
        <w:t>współdrożnym</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1.4.6. </w:t>
      </w:r>
      <w:r w:rsidRPr="007078D3">
        <w:rPr>
          <w:rFonts w:ascii="Times New Roman" w:hAnsi="Times New Roman" w:cs="Times New Roman"/>
          <w:color w:val="000000"/>
          <w:szCs w:val="20"/>
        </w:rPr>
        <w:t>Konstrukcja wsporcza znaku - każdy rodzaj konstrukcji (słupek, słup, słupy, kratownice, wysięgniki, bramy, wsporniki itp.) gwarantujący przenoszenie obciążeń zmiennych i stałych działających na konstrukcję i zamontowane na niej znaki lub tablice.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1.4.7</w:t>
      </w:r>
      <w:r w:rsidRPr="007078D3">
        <w:rPr>
          <w:rFonts w:ascii="Times New Roman" w:hAnsi="Times New Roman" w:cs="Times New Roman"/>
          <w:color w:val="000000"/>
          <w:szCs w:val="20"/>
        </w:rPr>
        <w:t>. Bezpieczna konstrukcja wsporcza – konstrukcja wsporcza znaku, spełniająca wymagania PN-EN 12767:2008 [2] w określonych kategoriach pochłaniania energii zderzenia oraz poziomach bezpieczeństwa kierujących i pasażerów pojazdu – większych od zera.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1.4.8. </w:t>
      </w:r>
      <w:r w:rsidRPr="007078D3">
        <w:rPr>
          <w:rFonts w:ascii="Times New Roman" w:hAnsi="Times New Roman" w:cs="Times New Roman"/>
          <w:color w:val="000000"/>
          <w:szCs w:val="20"/>
        </w:rPr>
        <w:t>Znak drogowy pionowy podświetlany - znak, wykonany w formie szczelnej obudowy, z umieszczonym w jej wnętrzu źródłem światła. Lico znaku stanowi </w:t>
      </w:r>
      <w:r w:rsidRPr="007078D3">
        <w:rPr>
          <w:rStyle w:val="spelle"/>
          <w:rFonts w:ascii="Times New Roman" w:hAnsi="Times New Roman" w:cs="Times New Roman"/>
          <w:color w:val="000000"/>
          <w:szCs w:val="20"/>
        </w:rPr>
        <w:t>transluminentna</w:t>
      </w:r>
      <w:r w:rsidRPr="007078D3">
        <w:rPr>
          <w:rFonts w:ascii="Times New Roman" w:hAnsi="Times New Roman" w:cs="Times New Roman"/>
          <w:color w:val="000000"/>
          <w:szCs w:val="20"/>
        </w:rPr>
        <w:t> powłoka, na którą naniesiony jest symbol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1.4.9. </w:t>
      </w:r>
      <w:r w:rsidRPr="007078D3">
        <w:rPr>
          <w:rFonts w:ascii="Times New Roman" w:hAnsi="Times New Roman" w:cs="Times New Roman"/>
          <w:color w:val="000000"/>
          <w:szCs w:val="20"/>
        </w:rPr>
        <w:t>Znak drogowy pionowy oświetlany - znak, którego odblaskowe lico jest oświetlane źródłem światła umieszczonym na zewnątrz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1.4.10. </w:t>
      </w:r>
      <w:r w:rsidRPr="007078D3">
        <w:rPr>
          <w:rFonts w:ascii="Times New Roman" w:hAnsi="Times New Roman" w:cs="Times New Roman"/>
          <w:color w:val="000000"/>
          <w:szCs w:val="20"/>
        </w:rPr>
        <w:t>Znak drogowy pionowy aktywny</w:t>
      </w:r>
      <w:r w:rsidRPr="007078D3">
        <w:rPr>
          <w:rFonts w:ascii="Times New Roman" w:hAnsi="Times New Roman" w:cs="Times New Roman"/>
          <w:i/>
          <w:iCs/>
          <w:color w:val="000000"/>
          <w:szCs w:val="20"/>
        </w:rPr>
        <w:t> – </w:t>
      </w:r>
      <w:r w:rsidRPr="007078D3">
        <w:rPr>
          <w:rFonts w:ascii="Times New Roman" w:hAnsi="Times New Roman" w:cs="Times New Roman"/>
          <w:color w:val="000000"/>
          <w:szCs w:val="20"/>
        </w:rPr>
        <w:t>odblaskowy znak drogowy o niezmiennej treści, wyposażony w pulsujące punktowe źródła światła zasilane prądem elektrycznym.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1.4.11. </w:t>
      </w:r>
      <w:r w:rsidRPr="007078D3">
        <w:rPr>
          <w:rFonts w:ascii="Times New Roman" w:hAnsi="Times New Roman" w:cs="Times New Roman"/>
          <w:color w:val="000000"/>
          <w:szCs w:val="20"/>
        </w:rPr>
        <w:t>Znak nowy - znak użytkowany (ustawiony na drodze) lub magazynowany w okresie do 3 miesięcy od daty produkcji.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1.4.12. </w:t>
      </w:r>
      <w:r w:rsidRPr="007078D3">
        <w:rPr>
          <w:rFonts w:ascii="Times New Roman" w:hAnsi="Times New Roman" w:cs="Times New Roman"/>
          <w:color w:val="000000"/>
          <w:szCs w:val="20"/>
        </w:rPr>
        <w:t xml:space="preserve">Pozostałe określenia podstawowe są zgodne z odpowiednimi specyfikacjami technicznymi i z definicjami podanymi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1.4.</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1.5. Ogólne wymagania dotyczące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1.5.</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17" w:name="_Toc505581985"/>
      <w:r w:rsidRPr="007078D3">
        <w:rPr>
          <w:rFonts w:ascii="Times New Roman" w:hAnsi="Times New Roman"/>
          <w:caps/>
          <w:color w:val="000000"/>
          <w:szCs w:val="20"/>
        </w:rPr>
        <w:t>2. MATERIAŁY</w:t>
      </w:r>
      <w:bookmarkEnd w:id="1317"/>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 Ogólne wymagania dotyczące materiałów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materiałów, ich pozyskiwania i składowania,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2.</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2.2. Wprowadzenie wyrobu do obrotu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Jeśli wyrób budowlany, w tym materiał do pionowego oznakowania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objęty jest normą zharmonizowaną lub jest zgodny z wydaną dla niego europejską oceną techniczną, producent może sporządzić deklarację właściwości użytkowych, oznakować wyrób znakiem CE i wprowadzić wyrób do obrotu [21, 24]. Norma zharmonizowana [1] dotyczy znaków drogowych, zestawów znaków drogowych, konstrukcji wsporczych, lic znaków wykonanych z folii odblaskowych kulkowych.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Wyroby, których nie obejmuje norma zharmonizowana, np. folie odblaskowe pryzmatyczne mogą uzyskać europejską ocenę techniczną np. na podstawie wytycznych dla wcześniejszej europejskiej aprobaty technicznej [23] lub krajową ocenę techniczną [31].</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lastRenderedPageBreak/>
        <w:t>Jeśli wyrób budowlany jest zgodny z wydaną dla niego krajową oceną techniczną, producent może sporządzić krajową deklarację właściwości użytkowych, oznakować wyrób znakiem budowlanym i wprowadzić wyrób do obrotu [22, 24]. Krajowa deklaracja właściwości użytkowych może być wydana przez producenta, który uzyskał krajowy certyfikat stałości właściwości użytkowych [22] wydany przez jednostkę notyfikowaną [25]. Aprobaty techniczne IBDiM wydane przed 1 stycznia 2017 r. mogą być wykorzystywane jako krajowe oceny techniczne do końca okresu ważności tych aprobat [24].</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2.3. Obowiązujący system oceny i weryfikacji stałości właściwości użytkowych</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Zgodnie z ustawą o systemach oceny zgodności i nadzoru rynku z 13 kwietnia 2016 r. (Dz. U. poz. 542 i 1228) [25] i rozporządzeniem Ministra Infrastruktury z dnia 17 listopada 2016 r. w sprawie sposobu deklarowania właściwości użytkowych wyrobów budowlanych oraz sposobu znakowania ich znakiem budowlanym [22] znaki drogowe zostały zakwalifikowane do Systemu 1 krajowego systemu oceny i weryfikacji stałości właściwości użytkowych.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2.4. Materiały stosowane do fundamentów znaków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Fundamenty dla zamocowania konstrukcji wsporczych znaków mogą być wykonywane: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jako prefabrykaty betonowe,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w przygotowanym wcześniej fundamencie (tzw. stopa fundamentowa),</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 betonu wykonywanego „na mokro”, bezpośrednio w gruncie,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 betonu zbrojonego,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Inne rozwiązania wymagają akceptacji przez Inżyniera.</w:t>
      </w:r>
    </w:p>
    <w:p w:rsidR="00E847A6" w:rsidRPr="007078D3" w:rsidRDefault="00E847A6" w:rsidP="00E847A6">
      <w:pPr>
        <w:pStyle w:val="wypunktowanie"/>
        <w:spacing w:before="0" w:beforeAutospacing="0" w:after="0" w:afterAutospacing="0"/>
        <w:jc w:val="both"/>
        <w:rPr>
          <w:color w:val="000000"/>
          <w:sz w:val="20"/>
          <w:szCs w:val="20"/>
        </w:rPr>
      </w:pPr>
      <w:r w:rsidRPr="007078D3">
        <w:rPr>
          <w:color w:val="000000"/>
          <w:sz w:val="20"/>
          <w:szCs w:val="20"/>
        </w:rPr>
        <w:t>                Dla fundamentów należy opracować dokumentację techniczną zgodną z obowiązującymi przepisami. Zaprojektowane fundamenty powinny odpowiadać wymaganiom normy PN-EN-1992-1-1:2008 [3]. Zaleca się wykonać fundamenty pod konstrukcje wsporcze oznakowania kierunkowego z betonu lub betonu zbrojonego klasy co najmniej C16/20 wg PN-EN 206+A1:2016-12 [4]. Wykonanie i osadzenie kotew fundamentowych należy wykonać  zgodnie z PN-EN 1993-1-8:2006 [5]. Posadowienie fundamentów należy wykonać na głębokość poniżej przemarzania gruntu.</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2.5. Konstrukcje wsporcze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2.5.1. </w:t>
      </w:r>
      <w:r w:rsidRPr="007078D3">
        <w:rPr>
          <w:rFonts w:ascii="Times New Roman" w:hAnsi="Times New Roman" w:cs="Times New Roman"/>
          <w:color w:val="000000"/>
          <w:szCs w:val="20"/>
        </w:rPr>
        <w:t>Ogólna charakterystyka konstrukcji wsporczych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Konstrukcje wsporcze znaków pionowych należy zaprojektować i wykonać w sposób</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gwarantujący stabilne</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i</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prawidłowe ustawienie w pasie drogowym, zgodnie z dokumentacją projektową uwzględniającą wymagania postawione w PN-EN 12899-1:2010 [1] i ST, a w przypadku braku wystarczających ustaleń, zgodnie z propozycją Wykonawcy zaakceptowaną przez Inżyniera. Konstrukcję wsporczą stanowi każdy rodzaj konstrukcji wymieniony w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1.4.6.</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zależności od szerokości znaku lub tablicy, konstrukcja wsporcza może posiadać jedną dwie lub trzy podpory.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Zaleca się następujący sposób doboru konstrukcji do powierzchni tablic:</w:t>
      </w:r>
    </w:p>
    <w:p w:rsidR="00E847A6" w:rsidRPr="007078D3" w:rsidRDefault="00E847A6" w:rsidP="00E847A6">
      <w:pPr>
        <w:ind w:left="705" w:hanging="705"/>
        <w:rPr>
          <w:rFonts w:ascii="Times New Roman" w:hAnsi="Times New Roman" w:cs="Times New Roman"/>
          <w:color w:val="000000"/>
          <w:szCs w:val="20"/>
        </w:rPr>
      </w:pPr>
      <w:r w:rsidRPr="007078D3">
        <w:rPr>
          <w:rFonts w:ascii="Times New Roman" w:hAnsi="Times New Roman" w:cs="Times New Roman"/>
          <w:color w:val="000000"/>
          <w:szCs w:val="20"/>
        </w:rPr>
        <w:t>-            do powierzchni A £ 1,5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i długości l £ 1 m – 1 słupek,</w:t>
      </w:r>
    </w:p>
    <w:p w:rsidR="00E847A6" w:rsidRPr="007078D3" w:rsidRDefault="00E847A6" w:rsidP="00E847A6">
      <w:pPr>
        <w:ind w:left="705" w:hanging="705"/>
        <w:rPr>
          <w:rFonts w:ascii="Times New Roman" w:hAnsi="Times New Roman" w:cs="Times New Roman"/>
          <w:color w:val="000000"/>
          <w:szCs w:val="20"/>
        </w:rPr>
      </w:pPr>
      <w:r w:rsidRPr="007078D3">
        <w:rPr>
          <w:rFonts w:ascii="Times New Roman" w:hAnsi="Times New Roman" w:cs="Times New Roman"/>
          <w:color w:val="000000"/>
          <w:szCs w:val="20"/>
        </w:rPr>
        <w:t>-            do powierzchni A £ 1,5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i długości l &gt; 1 m – 2 słupki,</w:t>
      </w:r>
    </w:p>
    <w:p w:rsidR="00E847A6" w:rsidRPr="007078D3" w:rsidRDefault="00E847A6" w:rsidP="00E847A6">
      <w:pPr>
        <w:ind w:left="705" w:hanging="705"/>
        <w:rPr>
          <w:rFonts w:ascii="Times New Roman" w:hAnsi="Times New Roman" w:cs="Times New Roman"/>
          <w:color w:val="000000"/>
          <w:szCs w:val="20"/>
        </w:rPr>
      </w:pPr>
      <w:r w:rsidRPr="007078D3">
        <w:rPr>
          <w:rFonts w:ascii="Times New Roman" w:hAnsi="Times New Roman" w:cs="Times New Roman"/>
          <w:color w:val="000000"/>
          <w:szCs w:val="20"/>
        </w:rPr>
        <w:t>-            do powierzchni 1,5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 A &lt; 2,5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 2 słupki z podporami,</w:t>
      </w:r>
    </w:p>
    <w:p w:rsidR="00E847A6" w:rsidRPr="007078D3" w:rsidRDefault="00E847A6" w:rsidP="00E847A6">
      <w:pPr>
        <w:ind w:left="705" w:hanging="705"/>
        <w:rPr>
          <w:rFonts w:ascii="Times New Roman" w:hAnsi="Times New Roman" w:cs="Times New Roman"/>
          <w:color w:val="000000"/>
          <w:szCs w:val="20"/>
        </w:rPr>
      </w:pPr>
      <w:r w:rsidRPr="007078D3">
        <w:rPr>
          <w:rFonts w:ascii="Times New Roman" w:hAnsi="Times New Roman" w:cs="Times New Roman"/>
          <w:color w:val="000000"/>
          <w:szCs w:val="20"/>
        </w:rPr>
        <w:t>-            do powierzchni A £ 1,5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i długości l &gt; 2,5 m – 2 słupki  j 76,1 x 3,2 mm,</w:t>
      </w:r>
    </w:p>
    <w:p w:rsidR="00E847A6" w:rsidRPr="007078D3" w:rsidRDefault="00E847A6" w:rsidP="00E847A6">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            do powierzchni 2,5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 A &lt; 4,5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i długości l ³ 3 m – 3 konstrukcje kratowe z rur j 60,3 × 3,2 mm z prętem j 10 - 14 mm,</w:t>
      </w:r>
    </w:p>
    <w:p w:rsidR="00E847A6" w:rsidRPr="007078D3" w:rsidRDefault="00E847A6" w:rsidP="00E847A6">
      <w:pPr>
        <w:ind w:left="705" w:hanging="705"/>
        <w:rPr>
          <w:rFonts w:ascii="Times New Roman" w:hAnsi="Times New Roman" w:cs="Times New Roman"/>
          <w:color w:val="000000"/>
          <w:szCs w:val="20"/>
        </w:rPr>
      </w:pPr>
      <w:r w:rsidRPr="007078D3">
        <w:rPr>
          <w:rFonts w:ascii="Times New Roman" w:hAnsi="Times New Roman" w:cs="Times New Roman"/>
          <w:color w:val="000000"/>
          <w:szCs w:val="20"/>
        </w:rPr>
        <w:t>-            do powierzchni A ≥ 4,5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i długości l ³ 4 m – 4 konstrukcje kratowe z rur j 60,3 × 3,2 mm z prętem j 14 mm,</w:t>
      </w:r>
    </w:p>
    <w:p w:rsidR="00E847A6" w:rsidRPr="007078D3" w:rsidRDefault="00E847A6" w:rsidP="00E847A6">
      <w:pPr>
        <w:ind w:left="426" w:hanging="426"/>
        <w:rPr>
          <w:rFonts w:ascii="Times New Roman" w:hAnsi="Times New Roman" w:cs="Times New Roman"/>
          <w:color w:val="000000"/>
          <w:szCs w:val="20"/>
        </w:rPr>
      </w:pPr>
      <w:r w:rsidRPr="007078D3">
        <w:rPr>
          <w:rFonts w:ascii="Times New Roman" w:hAnsi="Times New Roman" w:cs="Times New Roman"/>
          <w:color w:val="000000"/>
          <w:szCs w:val="20"/>
        </w:rPr>
        <w:t>-            dla konstrukcji </w:t>
      </w:r>
      <w:r w:rsidRPr="007078D3">
        <w:rPr>
          <w:rStyle w:val="spelle"/>
          <w:rFonts w:ascii="Times New Roman" w:hAnsi="Times New Roman" w:cs="Times New Roman"/>
          <w:color w:val="000000"/>
          <w:szCs w:val="20"/>
        </w:rPr>
        <w:t>bramownicowych</w:t>
      </w:r>
      <w:r w:rsidRPr="007078D3">
        <w:rPr>
          <w:rFonts w:ascii="Times New Roman" w:hAnsi="Times New Roman" w:cs="Times New Roman"/>
          <w:color w:val="000000"/>
          <w:szCs w:val="20"/>
        </w:rPr>
        <w:t> i wysięgników należy wykonać </w:t>
      </w:r>
      <w:r w:rsidRPr="007078D3">
        <w:rPr>
          <w:rStyle w:val="spelle"/>
          <w:rFonts w:ascii="Times New Roman" w:hAnsi="Times New Roman" w:cs="Times New Roman"/>
          <w:color w:val="000000"/>
          <w:szCs w:val="20"/>
        </w:rPr>
        <w:t>projekt</w:t>
      </w:r>
      <w:r w:rsidRPr="007078D3">
        <w:rPr>
          <w:rFonts w:ascii="Times New Roman" w:hAnsi="Times New Roman" w:cs="Times New Roman"/>
          <w:color w:val="000000"/>
          <w:szCs w:val="20"/>
        </w:rPr>
        <w:t> konstrukcyjny.</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 zakres dokumentacji powinien wchodzić: opis </w:t>
      </w:r>
      <w:r w:rsidRPr="007078D3">
        <w:rPr>
          <w:rStyle w:val="spelle"/>
          <w:rFonts w:ascii="Times New Roman" w:hAnsi="Times New Roman" w:cs="Times New Roman"/>
          <w:color w:val="000000"/>
          <w:szCs w:val="20"/>
        </w:rPr>
        <w:t>techniczny</w:t>
      </w:r>
      <w:r w:rsidRPr="007078D3">
        <w:rPr>
          <w:rFonts w:ascii="Times New Roman" w:hAnsi="Times New Roman" w:cs="Times New Roman"/>
          <w:color w:val="000000"/>
          <w:szCs w:val="20"/>
        </w:rPr>
        <w:t>,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 miejscach wskazanych przez projektanta inżynierii ruchu, gdzie występuje szczególne niebezpieczeństwo bezpośredniej kolizji z konstrukcją wsporczą, np. wloty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rozgałęzienia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łącznikowych, na zewnętrznych stronach łuków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itp., usytuowanie i jej dobór wymagają oddzielnych rozwiązań projektowych spełniających warunek biernego bezpieczeństwa dla użytkowników </w:t>
      </w:r>
      <w:r w:rsidRPr="007078D3">
        <w:rPr>
          <w:rStyle w:val="spelle"/>
          <w:rFonts w:ascii="Times New Roman" w:hAnsi="Times New Roman" w:cs="Times New Roman"/>
          <w:color w:val="000000"/>
          <w:szCs w:val="20"/>
        </w:rPr>
        <w:t>dróg</w:t>
      </w:r>
      <w:r w:rsidRPr="007078D3">
        <w:rPr>
          <w:rFonts w:ascii="Times New Roman" w:hAnsi="Times New Roman" w:cs="Times New Roman"/>
          <w:color w:val="000000"/>
          <w:szCs w:val="20"/>
        </w:rPr>
        <w:t>. W projekcie należy określić wymaganą dla danego rozwiązania kategorię biernego bezpieczeństwa zgodnie z PN-EN 12676:2008 [2]. Przykładowo (100, NE, 3 lub 70, NE, 3).</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Wyróżnia się trzy kategorie biernego bezpieczeństwa dla konstrukcji wsporczych:</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pochłaniająca energię w wysokim stopniu (HE),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pochłaniająca energię w niskim stopniu (LE),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nie pochłaniająca energii (NE).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2.5.2. </w:t>
      </w:r>
      <w:r w:rsidRPr="007078D3">
        <w:rPr>
          <w:rFonts w:ascii="Times New Roman" w:hAnsi="Times New Roman" w:cs="Times New Roman"/>
          <w:color w:val="000000"/>
          <w:szCs w:val="20"/>
        </w:rPr>
        <w:t>Materiały do konstrukcji wsporczych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 konstrukcji wsporczych zaleca się stosować następujące materiały:</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rury ocynkowane ze szwem lub bez, gładkie o średnicy j 60,3 × 2,4; 2,9 i 3,2 mm i j 76,1 × 2,9; 3,2 mm, 88,9 × 3,2mm,</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słupki „</w:t>
      </w:r>
      <w:r w:rsidRPr="007078D3">
        <w:rPr>
          <w:rStyle w:val="spelle"/>
          <w:rFonts w:ascii="Times New Roman" w:hAnsi="Times New Roman" w:cs="Times New Roman"/>
          <w:color w:val="000000"/>
          <w:szCs w:val="20"/>
        </w:rPr>
        <w:t>Prolife</w:t>
      </w:r>
      <w:r w:rsidRPr="007078D3">
        <w:rPr>
          <w:rFonts w:ascii="Times New Roman" w:hAnsi="Times New Roman" w:cs="Times New Roman"/>
          <w:color w:val="000000"/>
          <w:szCs w:val="20"/>
        </w:rPr>
        <w:t>” , pojedyncze i wielokrotne,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pręty stalowe o średnicy j 14 – 20 mm,</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inne materiały, których zastosowanie zostało zawarte w projektach konstrukcyjnych,</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słupki kompozytowe do tarcz z materiałów kompozytowych.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Słupki do znaków drogowych powinny być wykonane ze stali ocynkowanej ogniowo i spełniać wymagania zawarte w PN-EN 10255+A1:2009 [6]. Grubość powłoki cynku na słupku powinna wynosić minimum 60 </w:t>
      </w:r>
      <w:r w:rsidRPr="007078D3">
        <w:rPr>
          <w:rStyle w:val="spelle"/>
          <w:rFonts w:ascii="Times New Roman" w:hAnsi="Times New Roman" w:cs="Times New Roman"/>
          <w:color w:val="000000"/>
          <w:szCs w:val="20"/>
        </w:rPr>
        <w:t>μm</w:t>
      </w:r>
      <w:r w:rsidRPr="007078D3">
        <w:rPr>
          <w:rFonts w:ascii="Times New Roman" w:hAnsi="Times New Roman" w:cs="Times New Roman"/>
          <w:color w:val="000000"/>
          <w:szCs w:val="20"/>
        </w:rPr>
        <w:t>. Tarczę znaku o powierzchni ³ 0,8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zaleca się instalować na słupkach rurowych o wymiarach co najmniej 76,1/3,2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Powierzchnia zewnętrzna i wewnętrzna rur nie powinna wykazywać wad w postaci łusek, pęknięć, zwalcowań i </w:t>
      </w:r>
      <w:r w:rsidRPr="007078D3">
        <w:rPr>
          <w:rStyle w:val="spelle"/>
          <w:rFonts w:ascii="Times New Roman" w:hAnsi="Times New Roman" w:cs="Times New Roman"/>
          <w:color w:val="000000"/>
          <w:szCs w:val="20"/>
        </w:rPr>
        <w:t>naderwań</w:t>
      </w:r>
      <w:r w:rsidRPr="007078D3">
        <w:rPr>
          <w:rFonts w:ascii="Times New Roman" w:hAnsi="Times New Roman" w:cs="Times New Roman"/>
          <w:color w:val="000000"/>
          <w:szCs w:val="20"/>
        </w:rPr>
        <w:t>. Dopuszczalne są nieznaczne nierówności, pojedyncze rysy wynikające z procesu wytwarzania, mieszczące się w granicach dopuszczalnych odchyłek wymiarowych.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Pożądane jest, aby rury były dostarczane o długościach:</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dokładnych, zgodnych z zamówieniem; z dopuszczalną odchyłką ± 10 mm,</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wielokrotnych w stosunku do zamówionych długości dokładnych poniżej 3 m z naddatkiem 5 mm na każde cięcie i z dopuszczalną odchyłką dla całej długości wielokrotnej, jak dla długości dokładnych.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Rury powinny być proste. Dopuszczalna miejscowa krzywizna nie powinna przekraczać 1,5 mm na 1 m długości rury.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Rury powinny być wykonane ze stali spełniającej wymaganie odporności na zginanie zapewniające wytrzymałość znaku na chwilowe odkształcenie zginające ≤ 25 mm/m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Długości słupków, na których montowane są znaki przyjmowane są w oparciu o wymagania techniczne dla znaków drogowych [19] przy zagłębieniu w gruncie do 80 </w:t>
      </w:r>
      <w:r w:rsidRPr="007078D3">
        <w:rPr>
          <w:rStyle w:val="spelle"/>
          <w:rFonts w:ascii="Times New Roman" w:hAnsi="Times New Roman" w:cs="Times New Roman"/>
          <w:color w:val="000000"/>
          <w:szCs w:val="20"/>
        </w:rPr>
        <w:t>cm</w:t>
      </w:r>
      <w:r w:rsidRPr="007078D3">
        <w:rPr>
          <w:rFonts w:ascii="Times New Roman" w:hAnsi="Times New Roman" w:cs="Times New Roman"/>
          <w:color w:val="000000"/>
          <w:szCs w:val="20"/>
        </w:rPr>
        <w:t>. W części dolnej słupka powinna być kotwa, która po zabetonowaniu uniemożliwia obracanie lub wyciągnięcie słupka. Na każdym słupku należy zamontować zaślepkę zapobiegającą gromadzeniu się wody wewnątrz profilu.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2.5.3. </w:t>
      </w:r>
      <w:r w:rsidRPr="007078D3">
        <w:rPr>
          <w:rFonts w:ascii="Times New Roman" w:hAnsi="Times New Roman" w:cs="Times New Roman"/>
          <w:color w:val="000000"/>
          <w:szCs w:val="20"/>
        </w:rPr>
        <w:t>Kształtowniki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 zamocowania tarczy znaku do konstrukcji wsporczej stosowane są dwie metody:</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bezpośrednia i</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pośrednia.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Elementem bezpośrednio zamontowanym do słupka konstrukcji wsporczej jest uchwyt mocujący tarczę znaku drogowego. W metodzie bezpośredniej uchwyt mocujący jest zaczepiony do górnego i dolnego zagięcia obwodowego tarczy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metodzie pośredniej konieczne jest zamocowanie do tylnej części tarczy znaku profilu montażowego, jednego lub kilku w zależności od wielkości powierzchni tarczy. Umożliwia to zaczepienie uchwytu mocującego do profilu montażowego tarczy znaku. Uchwyty mocujące tarczę znaku do konstrukcji wsporczej powinny wykazywać odporność tarczy na obrócenie co najmniej 0,29° m</w:t>
      </w:r>
      <w:r w:rsidRPr="007078D3">
        <w:rPr>
          <w:rFonts w:ascii="Times New Roman" w:hAnsi="Times New Roman" w:cs="Times New Roman"/>
          <w:color w:val="000000"/>
          <w:szCs w:val="20"/>
          <w:vertAlign w:val="superscript"/>
        </w:rPr>
        <w:t>-1</w:t>
      </w:r>
      <w:r w:rsidRPr="007078D3">
        <w:rPr>
          <w:rFonts w:ascii="Times New Roman" w:hAnsi="Times New Roman" w:cs="Times New Roman"/>
          <w:color w:val="000000"/>
          <w:szCs w:val="20"/>
        </w:rPr>
        <w:t> –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TDT4 oraz odporność na obciążenie skupione 0,3 </w:t>
      </w:r>
      <w:r w:rsidRPr="007078D3">
        <w:rPr>
          <w:rStyle w:val="spelle"/>
          <w:rFonts w:ascii="Times New Roman" w:hAnsi="Times New Roman" w:cs="Times New Roman"/>
          <w:color w:val="000000"/>
          <w:szCs w:val="20"/>
        </w:rPr>
        <w:t>kN</w:t>
      </w:r>
      <w:r w:rsidRPr="007078D3">
        <w:rPr>
          <w:rFonts w:ascii="Times New Roman" w:hAnsi="Times New Roman" w:cs="Times New Roman"/>
          <w:color w:val="000000"/>
          <w:szCs w:val="20"/>
        </w:rPr>
        <w:t> –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PL2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2.5.4. </w:t>
      </w:r>
      <w:r w:rsidRPr="007078D3">
        <w:rPr>
          <w:rFonts w:ascii="Times New Roman" w:hAnsi="Times New Roman" w:cs="Times New Roman"/>
          <w:color w:val="000000"/>
          <w:szCs w:val="20"/>
        </w:rPr>
        <w:t>Gwarancja producenta lub dostawcy na konstrukcję wsporczą</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Producent lub dostawca każdej konstrukcji wsporczej, a w przypadku znaków umieszczanych na innych obiektach lub konstrukcjach (wiadukty </w:t>
      </w:r>
      <w:r w:rsidRPr="007078D3">
        <w:rPr>
          <w:rStyle w:val="spelle"/>
          <w:rFonts w:ascii="Times New Roman" w:hAnsi="Times New Roman" w:cs="Times New Roman"/>
          <w:color w:val="000000"/>
          <w:szCs w:val="20"/>
        </w:rPr>
        <w:t>nad</w:t>
      </w:r>
      <w:r w:rsidRPr="007078D3">
        <w:rPr>
          <w:rFonts w:ascii="Times New Roman" w:hAnsi="Times New Roman" w:cs="Times New Roman"/>
          <w:color w:val="000000"/>
          <w:szCs w:val="20"/>
        </w:rPr>
        <w:t>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słupków znaków pionowych ostrzegawczych, zakazu, nakazu i informacyjnych o standardowych wymiarach oraz w przypadku elementów, służących do zamocowania 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2.6. Tarcza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2.6.1. </w:t>
      </w:r>
      <w:r w:rsidRPr="007078D3">
        <w:rPr>
          <w:rFonts w:ascii="Times New Roman" w:hAnsi="Times New Roman" w:cs="Times New Roman"/>
          <w:color w:val="000000"/>
          <w:szCs w:val="20"/>
        </w:rPr>
        <w:t>Materiały na tarcze znaków drogowych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Tarcze znaków drogowych pionowych o powierzchni ≤ 1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powinny być wykonane: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 blachy stalowej ocynkowanej ogniowo o grubości co najmniej 1,25 mm wg PN-EN 10346:2011 [7], gatunek stali co najmniej DX52D z powłoką cynkową co najmniej Z275,</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 blachy aluminiowej o grubości co najmniej 1,5 mm wg PN-EN 485-1 i PN-EN 485-4 [8],</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 materiału warstwowego </w:t>
      </w:r>
      <w:r w:rsidRPr="007078D3">
        <w:rPr>
          <w:rStyle w:val="spelle"/>
          <w:rFonts w:ascii="Times New Roman" w:hAnsi="Times New Roman" w:cs="Times New Roman"/>
          <w:color w:val="000000"/>
          <w:szCs w:val="20"/>
        </w:rPr>
        <w:t>blacha-polimer-blacha</w:t>
      </w:r>
      <w:r w:rsidRPr="007078D3">
        <w:rPr>
          <w:rFonts w:ascii="Times New Roman" w:hAnsi="Times New Roman" w:cs="Times New Roman"/>
          <w:color w:val="000000"/>
          <w:szCs w:val="20"/>
        </w:rPr>
        <w:t>,</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 materiału kompozytowego profilowanego.</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tarcza znaku o powierzchni &gt; 1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powinna być wykonana:</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 blachy stalowej ocynkowanej ogniowo o grubości co najmniej 1,5 mm wg PN-EN 10346:2011 [7], gatunek stali co najmniej DX52D z powłoką cynkową co najmniej Z275,</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 blachy aluminiowej o grubości co najmniej 2 mm wg PN-EN 485-1 i PN-EN 485-4 [8],</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 materiału warstwowego </w:t>
      </w:r>
      <w:r w:rsidRPr="007078D3">
        <w:rPr>
          <w:rStyle w:val="spelle"/>
          <w:rFonts w:ascii="Times New Roman" w:hAnsi="Times New Roman" w:cs="Times New Roman"/>
          <w:color w:val="000000"/>
          <w:szCs w:val="20"/>
        </w:rPr>
        <w:t>blacha-polimer-blacha</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 oznakowania tymczasowego dopuszcza się stosowanie materiałów z tworzyw sztucznych, w tym znaków miękkich zwijanych.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Tarcze znaków, niezależnie od wielkości powierzchni, mogą być wykonane z płyty o konstrukcji warstwowej zbudowanej z dwóch płaskich blach stalowych o grubości min. 0,5 mm, z powłoką cynkową, co najmniej 225 g/m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pokrytych od strony zewnętrznej ochronną powłoka lakierniczą o grubości min. 25 µm oraz z płyty styropianowej w gatunku min. EPS 150 o grubości min. 22 mm, połączonych ze sobą trwale warstwami kleju. Krawędzie boczne tarcz warstwowych powinny być zabezpieczone profilem PCV. Na tylnej powierzchni tarcz montuje się uchwyty mocujące, tj. stalowe ocynkowane profile ceowe lub profile aluminiowe do wcześniej przypawanych (zgrzanych) do rewersu blachy metodą kondensatorową bolców gwintowanych.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Inne niż wyżej wymienione materiały mogą być stosowane jeśli spełniają wymagania bezpieczeństwa, wytrzymałości i trwałości po uzyskaniu certyfikatu jednostki notyfikowanej. W przypadku zastosowania powłoki metalizacyjnej cynkowej na konstrukcjach stalowych, powinna ona spełniać wymagania PN EN ISO 1461:2011 [9] i PN-EN 10240:2001 [10]. Grubość warstwy powłoki cynkowej na blasze stalowej ocynkowanej ogniowo nie może być mniejsza niż 18 mm (275 g Zn/m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po jednej stronie blachy.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Powierzchnia powłoki powinna być ciągła i jednorodna pod względem ziarnistości. Nie może ona wykazywać widocznych wad jak rysy, pęknięcia, pęcherze lub odstawanie powłoki od podłoża.</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lastRenderedPageBreak/>
        <w:t>Znaki i tablice powinny spełniać następujące wymagania podane w tablicy 1.</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 </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1.Wymagania dla znaków i tarcz znaków drogowych</w:t>
      </w:r>
    </w:p>
    <w:tbl>
      <w:tblPr>
        <w:tblW w:w="8623" w:type="dxa"/>
        <w:tblInd w:w="113" w:type="dxa"/>
        <w:shd w:val="clear" w:color="auto" w:fill="EAEAEA"/>
        <w:tblCellMar>
          <w:left w:w="0" w:type="dxa"/>
          <w:right w:w="0" w:type="dxa"/>
        </w:tblCellMar>
        <w:tblLook w:val="04A0"/>
      </w:tblPr>
      <w:tblGrid>
        <w:gridCol w:w="2843"/>
        <w:gridCol w:w="1275"/>
        <w:gridCol w:w="2694"/>
        <w:gridCol w:w="1811"/>
      </w:tblGrid>
      <w:tr w:rsidR="00E847A6" w:rsidRPr="00EF535A" w:rsidTr="007E50B3">
        <w:trPr>
          <w:tblHeader/>
        </w:trPr>
        <w:tc>
          <w:tcPr>
            <w:tcW w:w="2843" w:type="dxa"/>
            <w:tcBorders>
              <w:top w:val="single" w:sz="8" w:space="0" w:color="auto"/>
              <w:left w:val="single" w:sz="8" w:space="0" w:color="auto"/>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Parametr</w:t>
            </w:r>
          </w:p>
        </w:tc>
        <w:tc>
          <w:tcPr>
            <w:tcW w:w="1275"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Jednostka</w:t>
            </w:r>
          </w:p>
        </w:tc>
        <w:tc>
          <w:tcPr>
            <w:tcW w:w="2694"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Wymaganie</w:t>
            </w:r>
          </w:p>
        </w:tc>
        <w:tc>
          <w:tcPr>
            <w:tcW w:w="1811"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vAlign w:val="center"/>
            <w:hideMark/>
          </w:tcPr>
          <w:p w:rsidR="00E847A6" w:rsidRPr="00EF535A" w:rsidRDefault="00E847A6" w:rsidP="007E50B3">
            <w:pPr>
              <w:ind w:firstLine="385"/>
              <w:jc w:val="center"/>
              <w:rPr>
                <w:rFonts w:ascii="Times New Roman" w:hAnsi="Times New Roman" w:cs="Times New Roman"/>
                <w:sz w:val="18"/>
                <w:szCs w:val="18"/>
              </w:rPr>
            </w:pPr>
            <w:r w:rsidRPr="00EF535A">
              <w:rPr>
                <w:rFonts w:ascii="Times New Roman" w:hAnsi="Times New Roman" w:cs="Times New Roman"/>
                <w:sz w:val="18"/>
                <w:szCs w:val="18"/>
              </w:rPr>
              <w:t>Klasa wg</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PN-EN 12899-1: 2010 [1]</w:t>
            </w:r>
          </w:p>
        </w:tc>
      </w:tr>
      <w:tr w:rsidR="00E847A6" w:rsidRPr="00EF535A" w:rsidTr="007E50B3">
        <w:tc>
          <w:tcPr>
            <w:tcW w:w="284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Wytrzymałość na </w:t>
            </w:r>
            <w:r w:rsidRPr="00EF535A">
              <w:rPr>
                <w:rStyle w:val="spelle"/>
                <w:rFonts w:ascii="Times New Roman" w:hAnsi="Times New Roman" w:cs="Times New Roman"/>
                <w:sz w:val="18"/>
                <w:szCs w:val="18"/>
              </w:rPr>
              <w:t>obciąże-nie</w:t>
            </w:r>
            <w:r w:rsidRPr="00EF535A">
              <w:rPr>
                <w:rFonts w:ascii="Times New Roman" w:hAnsi="Times New Roman" w:cs="Times New Roman"/>
                <w:sz w:val="18"/>
                <w:szCs w:val="18"/>
              </w:rPr>
              <w:t> siłą naporu wiatru</w:t>
            </w:r>
          </w:p>
        </w:tc>
        <w:tc>
          <w:tcPr>
            <w:tcW w:w="127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lang w:val="en-US"/>
              </w:rPr>
              <w:t>kN</w:t>
            </w:r>
            <w:r w:rsidRPr="00EF535A">
              <w:rPr>
                <w:rFonts w:ascii="Times New Roman" w:hAnsi="Times New Roman" w:cs="Times New Roman"/>
                <w:sz w:val="18"/>
                <w:szCs w:val="18"/>
                <w:lang w:val="en-US"/>
              </w:rPr>
              <w:t> m</w:t>
            </w:r>
            <w:r w:rsidRPr="00EF535A">
              <w:rPr>
                <w:rFonts w:ascii="Times New Roman" w:hAnsi="Times New Roman" w:cs="Times New Roman"/>
                <w:sz w:val="18"/>
                <w:szCs w:val="18"/>
                <w:vertAlign w:val="superscript"/>
                <w:lang w:val="en-US"/>
              </w:rPr>
              <w:t>-2</w:t>
            </w:r>
          </w:p>
        </w:tc>
        <w:tc>
          <w:tcPr>
            <w:tcW w:w="26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 0,60</w:t>
            </w:r>
          </w:p>
        </w:tc>
        <w:tc>
          <w:tcPr>
            <w:tcW w:w="181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WL2</w:t>
            </w:r>
          </w:p>
        </w:tc>
      </w:tr>
      <w:tr w:rsidR="00E847A6" w:rsidRPr="00EF535A" w:rsidTr="007E50B3">
        <w:tc>
          <w:tcPr>
            <w:tcW w:w="284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Wytrzymałość na obciążenie skupione</w:t>
            </w:r>
          </w:p>
        </w:tc>
        <w:tc>
          <w:tcPr>
            <w:tcW w:w="127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rPr>
              <w:t>kN</w:t>
            </w:r>
          </w:p>
        </w:tc>
        <w:tc>
          <w:tcPr>
            <w:tcW w:w="26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³ </w:t>
            </w:r>
            <w:r w:rsidRPr="00EF535A">
              <w:rPr>
                <w:rFonts w:ascii="Times New Roman" w:hAnsi="Times New Roman" w:cs="Times New Roman"/>
                <w:sz w:val="18"/>
                <w:szCs w:val="18"/>
              </w:rPr>
              <w:t>0,50</w:t>
            </w:r>
          </w:p>
        </w:tc>
        <w:tc>
          <w:tcPr>
            <w:tcW w:w="181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PL2</w:t>
            </w:r>
          </w:p>
        </w:tc>
      </w:tr>
      <w:tr w:rsidR="00E847A6" w:rsidRPr="00EF535A" w:rsidTr="007E50B3">
        <w:tc>
          <w:tcPr>
            <w:tcW w:w="284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Chwilowe odkształcenie zginające</w:t>
            </w:r>
          </w:p>
        </w:tc>
        <w:tc>
          <w:tcPr>
            <w:tcW w:w="127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mm/m</w:t>
            </w:r>
          </w:p>
        </w:tc>
        <w:tc>
          <w:tcPr>
            <w:tcW w:w="26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£ 25</w:t>
            </w:r>
          </w:p>
        </w:tc>
        <w:tc>
          <w:tcPr>
            <w:tcW w:w="181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TDB4</w:t>
            </w:r>
          </w:p>
        </w:tc>
      </w:tr>
      <w:tr w:rsidR="00E847A6" w:rsidRPr="00EF535A" w:rsidTr="007E50B3">
        <w:tc>
          <w:tcPr>
            <w:tcW w:w="284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Chwilowe odkształcenie skrętne*</w:t>
            </w:r>
          </w:p>
        </w:tc>
        <w:tc>
          <w:tcPr>
            <w:tcW w:w="127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numerowanie"/>
              <w:spacing w:before="0" w:beforeAutospacing="0" w:after="0" w:afterAutospacing="0"/>
              <w:jc w:val="center"/>
              <w:rPr>
                <w:sz w:val="18"/>
                <w:szCs w:val="18"/>
              </w:rPr>
            </w:pPr>
            <w:r w:rsidRPr="00EF535A">
              <w:rPr>
                <w:sz w:val="18"/>
                <w:szCs w:val="18"/>
              </w:rPr>
              <w:t>stopień × m</w:t>
            </w:r>
          </w:p>
        </w:tc>
        <w:tc>
          <w:tcPr>
            <w:tcW w:w="26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w:t>
            </w:r>
            <w:r w:rsidRPr="00EF535A">
              <w:rPr>
                <w:rFonts w:ascii="Times New Roman" w:hAnsi="Times New Roman" w:cs="Times New Roman"/>
                <w:sz w:val="18"/>
                <w:szCs w:val="18"/>
              </w:rPr>
              <w:t> 0,02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w:t>
            </w:r>
            <w:r w:rsidRPr="00EF535A">
              <w:rPr>
                <w:rFonts w:ascii="Times New Roman" w:hAnsi="Times New Roman" w:cs="Times New Roman"/>
                <w:sz w:val="18"/>
                <w:szCs w:val="18"/>
              </w:rPr>
              <w:t> 0,11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w:t>
            </w:r>
            <w:r w:rsidRPr="00EF535A">
              <w:rPr>
                <w:rFonts w:ascii="Times New Roman" w:hAnsi="Times New Roman" w:cs="Times New Roman"/>
                <w:sz w:val="18"/>
                <w:szCs w:val="18"/>
              </w:rPr>
              <w:t> 0,57</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lang w:val="en-US"/>
              </w:rPr>
              <w:t>£</w:t>
            </w:r>
            <w:r w:rsidRPr="00EF535A">
              <w:rPr>
                <w:rFonts w:ascii="Times New Roman" w:hAnsi="Times New Roman" w:cs="Times New Roman"/>
                <w:sz w:val="18"/>
                <w:szCs w:val="18"/>
              </w:rPr>
              <w:t> 1,15</w:t>
            </w:r>
          </w:p>
        </w:tc>
        <w:tc>
          <w:tcPr>
            <w:tcW w:w="181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TDT1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TDT3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TDT5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TDT6</w:t>
            </w:r>
          </w:p>
        </w:tc>
      </w:tr>
      <w:tr w:rsidR="00E847A6" w:rsidRPr="00EF535A" w:rsidTr="007E50B3">
        <w:tc>
          <w:tcPr>
            <w:tcW w:w="284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Odkształcenie trwałe</w:t>
            </w:r>
          </w:p>
        </w:tc>
        <w:tc>
          <w:tcPr>
            <w:tcW w:w="127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mm/m  lub stopień × m</w:t>
            </w:r>
          </w:p>
        </w:tc>
        <w:tc>
          <w:tcPr>
            <w:tcW w:w="26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20% odkształcenia chwilowego</w:t>
            </w:r>
          </w:p>
        </w:tc>
        <w:tc>
          <w:tcPr>
            <w:tcW w:w="181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r>
      <w:tr w:rsidR="00E847A6" w:rsidRPr="00EF535A" w:rsidTr="007E50B3">
        <w:tc>
          <w:tcPr>
            <w:tcW w:w="284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Rodzaj krawędzi znaku</w:t>
            </w:r>
          </w:p>
        </w:tc>
        <w:tc>
          <w:tcPr>
            <w:tcW w:w="127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26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Zabezpieczona, krawędź tłoczona, zaginana, prasowana lub zabezpieczona profilem krawędziowym</w:t>
            </w:r>
          </w:p>
        </w:tc>
        <w:tc>
          <w:tcPr>
            <w:tcW w:w="181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E2</w:t>
            </w:r>
          </w:p>
        </w:tc>
      </w:tr>
      <w:tr w:rsidR="00E847A6" w:rsidRPr="00EF535A" w:rsidTr="007E50B3">
        <w:tc>
          <w:tcPr>
            <w:tcW w:w="284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Przewiercanie tarczy i lica znaku</w:t>
            </w:r>
          </w:p>
        </w:tc>
        <w:tc>
          <w:tcPr>
            <w:tcW w:w="127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26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Lico znaku nie może być przewiercone z żadnego powodu</w:t>
            </w:r>
          </w:p>
        </w:tc>
        <w:tc>
          <w:tcPr>
            <w:tcW w:w="181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P3</w:t>
            </w:r>
          </w:p>
        </w:tc>
      </w:tr>
      <w:tr w:rsidR="00E847A6" w:rsidRPr="00EF535A" w:rsidTr="007E50B3">
        <w:tc>
          <w:tcPr>
            <w:tcW w:w="284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Odporność na uderzenie kuli o masie 450 g i promieniu kontaktu 50 mm, upuszczonej</w:t>
            </w:r>
          </w:p>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 wysokości 220 mm</w:t>
            </w:r>
          </w:p>
        </w:tc>
        <w:tc>
          <w:tcPr>
            <w:tcW w:w="127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26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Uderzenie nie powinno spowodować pęknięć lub </w:t>
            </w:r>
            <w:r w:rsidRPr="00EF535A">
              <w:rPr>
                <w:rStyle w:val="spelle"/>
                <w:rFonts w:ascii="Times New Roman" w:hAnsi="Times New Roman" w:cs="Times New Roman"/>
                <w:sz w:val="18"/>
                <w:szCs w:val="18"/>
              </w:rPr>
              <w:t>delaminacji</w:t>
            </w:r>
            <w:r w:rsidRPr="00EF535A">
              <w:rPr>
                <w:rFonts w:ascii="Times New Roman" w:hAnsi="Times New Roman" w:cs="Times New Roman"/>
                <w:sz w:val="18"/>
                <w:szCs w:val="18"/>
              </w:rPr>
              <w:t> folii od pod-łoża w odległości 6 mm od punktu uderzenia kuli jako środka</w:t>
            </w:r>
          </w:p>
        </w:tc>
        <w:tc>
          <w:tcPr>
            <w:tcW w:w="181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spełnia</w:t>
            </w:r>
          </w:p>
        </w:tc>
      </w:tr>
      <w:tr w:rsidR="00E847A6" w:rsidRPr="00EF535A" w:rsidTr="007E50B3">
        <w:tc>
          <w:tcPr>
            <w:tcW w:w="2843"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Badanie trwałości na wpływ warunków pogodowych</w:t>
            </w:r>
          </w:p>
        </w:tc>
        <w:tc>
          <w:tcPr>
            <w:tcW w:w="1275"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2694"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Po trzech latach badań pogodowych zgodnie z PN-EN 12899-1, należy sprawdzić zgodność współrzędnych chroma-tyczności i współczynnika luminancji z wymagania-mi klasy CR2. Współczynnik odblasku, zmierzony pod kątem obserwacji a = 20’ dla kątów oświetlenia b</w:t>
            </w:r>
            <w:r w:rsidRPr="00EF535A">
              <w:rPr>
                <w:rFonts w:ascii="Times New Roman" w:hAnsi="Times New Roman" w:cs="Times New Roman"/>
                <w:sz w:val="18"/>
                <w:szCs w:val="18"/>
                <w:vertAlign w:val="subscript"/>
              </w:rPr>
              <w:t>1</w:t>
            </w:r>
            <w:r w:rsidRPr="00EF535A">
              <w:rPr>
                <w:rFonts w:ascii="Times New Roman" w:hAnsi="Times New Roman" w:cs="Times New Roman"/>
                <w:sz w:val="18"/>
                <w:szCs w:val="18"/>
              </w:rPr>
              <w:t> = 5</w:t>
            </w:r>
            <w:r w:rsidRPr="00EF535A">
              <w:rPr>
                <w:rFonts w:ascii="Times New Roman" w:hAnsi="Times New Roman" w:cs="Times New Roman"/>
                <w:sz w:val="18"/>
                <w:szCs w:val="18"/>
                <w:vertAlign w:val="superscript"/>
              </w:rPr>
              <w:t>o</w:t>
            </w:r>
            <w:r w:rsidRPr="00EF535A">
              <w:rPr>
                <w:rFonts w:ascii="Times New Roman" w:hAnsi="Times New Roman" w:cs="Times New Roman"/>
                <w:sz w:val="18"/>
                <w:szCs w:val="18"/>
              </w:rPr>
              <w:t> i 30</w:t>
            </w:r>
            <w:r w:rsidRPr="00EF535A">
              <w:rPr>
                <w:rFonts w:ascii="Times New Roman" w:hAnsi="Times New Roman" w:cs="Times New Roman"/>
                <w:sz w:val="18"/>
                <w:szCs w:val="18"/>
                <w:vertAlign w:val="superscript"/>
              </w:rPr>
              <w:t>o</w:t>
            </w:r>
            <w:r w:rsidRPr="00EF535A">
              <w:rPr>
                <w:rFonts w:ascii="Times New Roman" w:hAnsi="Times New Roman" w:cs="Times New Roman"/>
                <w:sz w:val="18"/>
                <w:szCs w:val="18"/>
              </w:rPr>
              <w:t> oraz b</w:t>
            </w:r>
            <w:r w:rsidRPr="00EF535A">
              <w:rPr>
                <w:rFonts w:ascii="Times New Roman" w:hAnsi="Times New Roman" w:cs="Times New Roman"/>
                <w:sz w:val="18"/>
                <w:szCs w:val="18"/>
                <w:vertAlign w:val="subscript"/>
              </w:rPr>
              <w:t>2</w:t>
            </w:r>
            <w:r w:rsidRPr="00EF535A">
              <w:rPr>
                <w:rFonts w:ascii="Times New Roman" w:hAnsi="Times New Roman" w:cs="Times New Roman"/>
                <w:sz w:val="18"/>
                <w:szCs w:val="18"/>
              </w:rPr>
              <w:t> = 0</w:t>
            </w:r>
            <w:r w:rsidRPr="00EF535A">
              <w:rPr>
                <w:rFonts w:ascii="Times New Roman" w:hAnsi="Times New Roman" w:cs="Times New Roman"/>
                <w:sz w:val="18"/>
                <w:szCs w:val="18"/>
                <w:vertAlign w:val="superscript"/>
              </w:rPr>
              <w:t>o </w:t>
            </w:r>
            <w:r w:rsidRPr="00EF535A">
              <w:rPr>
                <w:rFonts w:ascii="Times New Roman" w:hAnsi="Times New Roman" w:cs="Times New Roman"/>
                <w:sz w:val="18"/>
                <w:szCs w:val="18"/>
              </w:rPr>
              <w:t>, powinien być nie </w:t>
            </w:r>
            <w:r w:rsidRPr="00EF535A">
              <w:rPr>
                <w:rStyle w:val="spelle"/>
                <w:rFonts w:ascii="Times New Roman" w:hAnsi="Times New Roman" w:cs="Times New Roman"/>
                <w:sz w:val="18"/>
                <w:szCs w:val="18"/>
              </w:rPr>
              <w:t>mniej-szy</w:t>
            </w:r>
            <w:r w:rsidRPr="00EF535A">
              <w:rPr>
                <w:rFonts w:ascii="Times New Roman" w:hAnsi="Times New Roman" w:cs="Times New Roman"/>
                <w:sz w:val="18"/>
                <w:szCs w:val="18"/>
              </w:rPr>
              <w:t> niż 80 % wartości podanych odpowiednio w [16] i w tab.2, 3, 4 i 5.</w:t>
            </w:r>
          </w:p>
        </w:tc>
        <w:tc>
          <w:tcPr>
            <w:tcW w:w="1811"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spełnia</w:t>
            </w:r>
          </w:p>
        </w:tc>
      </w:tr>
      <w:tr w:rsidR="00E847A6" w:rsidRPr="00EF535A" w:rsidTr="007E50B3">
        <w:tc>
          <w:tcPr>
            <w:tcW w:w="8623" w:type="dxa"/>
            <w:gridSpan w:val="4"/>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ind w:left="132" w:hanging="132"/>
              <w:rPr>
                <w:rFonts w:ascii="Times New Roman" w:hAnsi="Times New Roman" w:cs="Times New Roman"/>
                <w:sz w:val="18"/>
                <w:szCs w:val="18"/>
              </w:rPr>
            </w:pPr>
            <w:r w:rsidRPr="00EF535A">
              <w:rPr>
                <w:rFonts w:ascii="Times New Roman" w:hAnsi="Times New Roman" w:cs="Times New Roman"/>
                <w:sz w:val="18"/>
                <w:szCs w:val="18"/>
              </w:rPr>
              <w:t>* klasę TDT1 stosuje się dla tablic na konstrukcjach bramowych, klasę TDT3 dla tablic na 2 lub więcej podporach, klasę TDT 5 dla tablic na jednej podporze, klasę TDT6 dla tablic na konstrukcjach wysięgnikowych</w:t>
            </w:r>
          </w:p>
        </w:tc>
      </w:tr>
    </w:tbl>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strefy wiatrowej I przeważającej na obszarze kraju do obliczeń konstrukcyjnych należy przyjmować klasę wytrzymałości na obciążenie siłą naporu wiatru WL2 wg [1], co odpowiada obciążeniu siłą naporu wiatru </w:t>
      </w:r>
      <w:r w:rsidRPr="007078D3">
        <w:rPr>
          <w:rFonts w:ascii="Times New Roman" w:hAnsi="Times New Roman" w:cs="Times New Roman"/>
          <w:color w:val="000000"/>
          <w:szCs w:val="20"/>
          <w:lang w:val="en-US"/>
        </w:rPr>
        <w:t>³ </w:t>
      </w:r>
      <w:r w:rsidRPr="007078D3">
        <w:rPr>
          <w:rFonts w:ascii="Times New Roman" w:hAnsi="Times New Roman" w:cs="Times New Roman"/>
          <w:color w:val="000000"/>
          <w:szCs w:val="20"/>
        </w:rPr>
        <w:t>0,60 </w:t>
      </w:r>
      <w:r w:rsidRPr="007078D3">
        <w:rPr>
          <w:rStyle w:val="spelle"/>
          <w:rFonts w:ascii="Times New Roman" w:hAnsi="Times New Roman" w:cs="Times New Roman"/>
          <w:color w:val="000000"/>
          <w:szCs w:val="20"/>
        </w:rPr>
        <w:t>kN</w:t>
      </w:r>
      <w:r w:rsidRPr="007078D3">
        <w:rPr>
          <w:rFonts w:ascii="Times New Roman" w:hAnsi="Times New Roman" w:cs="Times New Roman"/>
          <w:color w:val="000000"/>
          <w:szCs w:val="20"/>
        </w:rPr>
        <w:t> m</w:t>
      </w:r>
      <w:r w:rsidRPr="007078D3">
        <w:rPr>
          <w:rFonts w:ascii="Times New Roman" w:hAnsi="Times New Roman" w:cs="Times New Roman"/>
          <w:color w:val="000000"/>
          <w:szCs w:val="20"/>
          <w:vertAlign w:val="superscript"/>
        </w:rPr>
        <w:t>-2 </w:t>
      </w:r>
      <w:r w:rsidRPr="007078D3">
        <w:rPr>
          <w:rFonts w:ascii="Times New Roman" w:hAnsi="Times New Roman" w:cs="Times New Roman"/>
          <w:color w:val="000000"/>
          <w:szCs w:val="20"/>
        </w:rPr>
        <w:t>. Do badań laboratoryjnych ugięcia znaku zaleca się przyjmować odpowiadające tej klasie po uwzględnieniu współczynników korygujących, obciążenie 68 kg/m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Jako wymaganie przyjęto, że chwilowe odkształcenie zginające, zarówno znak, jak i samą tarczę znaku nie może być większe niż 25 mm/m (</w:t>
      </w:r>
      <w:r w:rsidRPr="007078D3">
        <w:rPr>
          <w:rStyle w:val="spelle"/>
          <w:rFonts w:ascii="Times New Roman" w:hAnsi="Times New Roman" w:cs="Times New Roman"/>
          <w:color w:val="000000"/>
          <w:szCs w:val="20"/>
        </w:rPr>
        <w:t>klasa</w:t>
      </w:r>
      <w:r w:rsidRPr="007078D3">
        <w:rPr>
          <w:rFonts w:ascii="Times New Roman" w:hAnsi="Times New Roman" w:cs="Times New Roman"/>
          <w:color w:val="000000"/>
          <w:szCs w:val="20"/>
        </w:rPr>
        <w:t> TDB4).</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2.6.2. </w:t>
      </w:r>
      <w:r w:rsidRPr="007078D3">
        <w:rPr>
          <w:rFonts w:ascii="Times New Roman" w:hAnsi="Times New Roman" w:cs="Times New Roman"/>
          <w:color w:val="000000"/>
          <w:szCs w:val="20"/>
        </w:rPr>
        <w:t>Warunki wykonania tarczy znaku</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Tarcze znaków powinny spełniać także następujące wymagania:</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krawędzie tarczy znaku powinny być usztywnione na całym obwodzie poprzez ich podwójne gięcie o promieniu gięcia nie większym niż 10 mm włącznie z narożnikami lub przez zamocowanie odpowiedniego profilu na całym obwodzie znaku,</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powierzchnia czołowa tarczy znaku powinna być równa – bez wgięć, pofałdowań i otworów montażowych. Dopuszczalna nierówność wynosi 1 mm/m,</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podwójna gięta krawędź i/lub przymocowane do tylnej powierzchni profile montażowe powinny usztywnić tarczę znaku w taki sposób, aby wymagania podane w tablicy 1 były spełnione a zarazem stanowiły element konstrukcyjny do montażu do konstrukcji wsporczej,</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tylna powierzchnia tarczy powinna być zabezpieczona przed procesami korozji ochronnymi powłokami chemicznymi oraz powłoką lakierniczą o grubości min. 60 µm z proszkowych farb poliestrowych ciemnoszarych matowych lub półmatowych w kolorze zbliżonym do RAL 7037 [26]; badania w zakresie odporności na działanie mgły solnej oraz wody należy wykonywać zgodnie z PN-ISO 7253:2000 [11],</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odwrotną stronę tarczy, jeżeli jest wykorzystywana do umieszczenia znaku dla jadących z przeciwnego kierunku, także należy zabezpieczyć powłoką lakierniczą w kolorze szarym zbliżonym do RAL 7037.</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lastRenderedPageBreak/>
        <w:t>Tarcze znaków i tablic o powierzchni &gt; 1 m</w:t>
      </w:r>
      <w:r w:rsidRPr="007078D3">
        <w:rPr>
          <w:rFonts w:ascii="Times New Roman" w:hAnsi="Times New Roman" w:cs="Times New Roman"/>
          <w:color w:val="000000"/>
          <w:szCs w:val="20"/>
          <w:vertAlign w:val="superscript"/>
        </w:rPr>
        <w:t>2 </w:t>
      </w:r>
      <w:r w:rsidRPr="007078D3">
        <w:rPr>
          <w:rFonts w:ascii="Times New Roman" w:hAnsi="Times New Roman" w:cs="Times New Roman"/>
          <w:color w:val="000000"/>
          <w:szCs w:val="20"/>
        </w:rPr>
        <w:t>powinny spełniać dodatkowo następujące wymagania:</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narożniki znaku i tablicy powinny być zaokrąglone, o promieniu zgodnym z wymaganiami określonymi w załączniku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 do rozporządzenia Ministra Infrastruktury z dnia 3 lipca 2003 r. [19] nie mniejszym jednak niż 30 mm, gdy wielkości tego promienia nie wskazano,</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łączenie poszczególnych segmentów tarczy (dla znaków </w:t>
      </w:r>
      <w:r w:rsidRPr="007078D3">
        <w:rPr>
          <w:rStyle w:val="spelle"/>
          <w:rFonts w:ascii="Times New Roman" w:hAnsi="Times New Roman" w:cs="Times New Roman"/>
          <w:color w:val="000000"/>
          <w:szCs w:val="20"/>
        </w:rPr>
        <w:t>wielkopowierzchniowych</w:t>
      </w:r>
      <w:r w:rsidRPr="007078D3">
        <w:rPr>
          <w:rFonts w:ascii="Times New Roman" w:hAnsi="Times New Roman" w:cs="Times New Roman"/>
          <w:color w:val="000000"/>
          <w:szCs w:val="20"/>
        </w:rPr>
        <w:t>) wzdłuż poziomej lub pionowej krawędzi  powinno być wykonane w taki sposób, aby nie występowały przesunięcia i prześwity w miejscach ich łączenia.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2.6.3  </w:t>
      </w:r>
      <w:r w:rsidRPr="007078D3">
        <w:rPr>
          <w:rFonts w:ascii="Times New Roman" w:hAnsi="Times New Roman" w:cs="Times New Roman"/>
          <w:color w:val="000000"/>
          <w:szCs w:val="20"/>
        </w:rPr>
        <w:t>Tolerancje wymiarowe znaków drogowych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2.6.3.1.</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Tolerancje wymiarowe dla grubości blach</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Sprawdzenie śrubą mikrometryczną:</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dla blachy stalowej ocynkowanej ogniowo o gr. 1,25 - 1,5 mm tolerancja ± 0,14 mm,</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dla blach aluminiowych o gr. 1,5 - 2,0 mm tolerancja ± 0,10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2.6.3.2.</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Tolerancje wymiarowe dla grubości powłok malarskich</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Dla powłoki lakierniczej na tylnej powierzchni tarczy znaku dopuszczalna tolerancja powinna wynosić od 40 µm do 80 µm. Sprawdzenie wg PN-EN ISO 2808 [12]. </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2.6.3.3.</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Tolerancje wymiarowe dla płaskości powierzchni</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Odchylenia od płaskości nie mogą wynieść więcej niż 0,5%. Sprawdzenie można wykonać z użyciem poziomnicy i szczelinomierza.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2.6.3.4.</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Tolerancje wymiarowe dla tarcz znaków</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Sprawdzenie przymiarem liniowym:</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wymiary dla tarcz znaków o powierzchni &lt; 1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podane w opisach szczegółowych załącznika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 [19] należy powiększyć o 10 mm i wykonać w tolerancji wymiarowej ± 5 mm,</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wymiary dla tarcz znaków i tablic o powierzchni &gt; 1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podane w opisach szczegółowych załącznika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 [19] oraz  wymiary wynikowe dla tablic grupy E należy powiększyć o 15 mm i wykonać w tolerancji wymiarowej  ± 10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2.7. Znaki odblaskowe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2.7.1. </w:t>
      </w:r>
      <w:r w:rsidRPr="007078D3">
        <w:rPr>
          <w:rFonts w:ascii="Times New Roman" w:hAnsi="Times New Roman" w:cs="Times New Roman"/>
          <w:color w:val="000000"/>
          <w:szCs w:val="20"/>
        </w:rPr>
        <w:t>Wymagania dotyczące powierzchni odblaskowej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Znaki drogowe odblaskowe wykonuje się przez naklejenie na tarczę znaku lica wykonanego z samoprzylepnej, aktywowanej przez docisk, folii odblaskowej. Znaki drogowe klasy A, B, C, D, E, F, G, T i urządzenia bezpieczeństwa ruchu drogowego klasy U </w:t>
      </w:r>
      <w:r w:rsidRPr="007078D3">
        <w:rPr>
          <w:rStyle w:val="spelle"/>
          <w:rFonts w:ascii="Times New Roman" w:hAnsi="Times New Roman" w:cs="Times New Roman"/>
          <w:color w:val="000000"/>
          <w:szCs w:val="20"/>
        </w:rPr>
        <w:t>nieodblaskowe</w:t>
      </w:r>
      <w:r w:rsidRPr="007078D3">
        <w:rPr>
          <w:rFonts w:ascii="Times New Roman" w:hAnsi="Times New Roman" w:cs="Times New Roman"/>
          <w:color w:val="000000"/>
          <w:szCs w:val="20"/>
        </w:rPr>
        <w:t>, nie są dopuszczone do stosowania na drogach publicznych.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Folia odblaskowa (odbijająca powrotnie) powinna spełniać wymagania określone w niniejszej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Lico znaku należy wykonać z samoprzylepnej folii odblaskowej (kulkowej) typu 1, typu 2 lub z folii </w:t>
      </w:r>
      <w:r w:rsidRPr="007078D3">
        <w:rPr>
          <w:rStyle w:val="spelle"/>
          <w:rFonts w:ascii="Times New Roman" w:hAnsi="Times New Roman" w:cs="Times New Roman"/>
          <w:color w:val="000000"/>
          <w:szCs w:val="20"/>
        </w:rPr>
        <w:t>mikropryzmatycznej</w:t>
      </w:r>
      <w:r w:rsidRPr="007078D3">
        <w:rPr>
          <w:rFonts w:ascii="Times New Roman" w:hAnsi="Times New Roman" w:cs="Times New Roman"/>
          <w:color w:val="000000"/>
          <w:szCs w:val="20"/>
        </w:rPr>
        <w:t> typu 1P, 2P i 3P, o jakości potwierdzonej uzyskanymi certyfikatami dla każdego typu i koloru folii. Do wykonywania piktogramów i znaków alfanumerycznych na licach znaków wszystkich kategorii dopuszcza się stosowanie folii </w:t>
      </w:r>
      <w:r w:rsidRPr="007078D3">
        <w:rPr>
          <w:rStyle w:val="spelle"/>
          <w:rFonts w:ascii="Times New Roman" w:hAnsi="Times New Roman" w:cs="Times New Roman"/>
          <w:color w:val="000000"/>
          <w:szCs w:val="20"/>
        </w:rPr>
        <w:t>nieodblaskowej</w:t>
      </w:r>
      <w:r w:rsidRPr="007078D3">
        <w:rPr>
          <w:rFonts w:ascii="Times New Roman" w:hAnsi="Times New Roman" w:cs="Times New Roman"/>
          <w:color w:val="000000"/>
          <w:szCs w:val="20"/>
        </w:rPr>
        <w:t> czarnej.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Do nanoszenia na lico znaku barw innych niż biała, mogą być stosowane: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odblaskowa folia kulkowa,</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transparentna folia ploterowa ECF,</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nieodblaskowa</w:t>
      </w:r>
      <w:r w:rsidRPr="007078D3">
        <w:rPr>
          <w:rFonts w:ascii="Times New Roman" w:hAnsi="Times New Roman" w:cs="Times New Roman"/>
          <w:color w:val="000000"/>
          <w:szCs w:val="20"/>
        </w:rPr>
        <w:t> folia barwy czarnej,</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transparentny druk sitowy,</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transparentny druk cyfrowy.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Widoczność w dzień i w nocy znaków drogowych zależy od właściwości kolorymetrycznych i fotometrycznych folii zastosowanej na lico znaku. Stosowane są w tym celu folie odblaskowe wykonane w technologii kulkowej i pryzmatycznej oraz </w:t>
      </w:r>
      <w:r w:rsidRPr="007078D3">
        <w:rPr>
          <w:rStyle w:val="spelle"/>
          <w:rFonts w:ascii="Times New Roman" w:hAnsi="Times New Roman" w:cs="Times New Roman"/>
          <w:color w:val="000000"/>
          <w:szCs w:val="20"/>
        </w:rPr>
        <w:t>nieodblaskowa</w:t>
      </w:r>
      <w:r w:rsidRPr="007078D3">
        <w:rPr>
          <w:rFonts w:ascii="Times New Roman" w:hAnsi="Times New Roman" w:cs="Times New Roman"/>
          <w:color w:val="000000"/>
          <w:szCs w:val="20"/>
        </w:rPr>
        <w:t> folia barwy czarnej.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Folia typu 1 oznacza folię kulkową spełniającą współczynnik luminancji β i współrzędne chromatyczności określone w klasie CR1 lub CR2 oraz współczynnik odblaskowości w klasie RA1 wg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Folia typu 2 oznacza folię kulkową spełniającą współczynnik luminancji β i współrzędne chromatyczności określone w klasie CR1 lub CR2 oraz współczynnik odblaskowości w klasie RA2[1].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Folia typu 1P oznacza folię pryzmatyczną spełniającą współczynnik luminancji β i współrzędne chromatyczności określone w klasie CR1 lub CR2 oraz współczynnik odblaskowości wg tablicy 5.</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Folia typu 2P oznacza folię pryzmatyczną spełniającą współczynnik luminancji β i współrzędne chromatyczności określone w klasie CR1 lub CR2 oraz współczynnik odblaskowości wg tablicy 2.</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Folia typu 3P oznacza folię pryzmatyczną spełniającą współczynnik luminancji β i współrzędne chromatyczności określone w klasie CR1 lub CR2 oraz współczynnik odblaskowości wg tablicy 3.</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Folia typu 3FP oznacza folię pryzmatyczną fluorescencyjną spełniającą współczynnik luminancji β i współrzędne chromatyczności określone w klasie CR1 lub CR2 oraz współczynnik odblaskowości wg tablicy 4.</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tablicach 2, 3 i 4 zawarto minimalne wartości współczynnika odblasku R</w:t>
      </w:r>
      <w:r w:rsidRPr="007078D3">
        <w:rPr>
          <w:rFonts w:ascii="Times New Roman" w:hAnsi="Times New Roman" w:cs="Times New Roman"/>
          <w:color w:val="000000"/>
          <w:szCs w:val="20"/>
          <w:vertAlign w:val="subscript"/>
        </w:rPr>
        <w:t>A</w:t>
      </w:r>
      <w:r w:rsidRPr="007078D3">
        <w:rPr>
          <w:rFonts w:ascii="Times New Roman" w:hAnsi="Times New Roman" w:cs="Times New Roman"/>
          <w:color w:val="000000"/>
          <w:szCs w:val="20"/>
        </w:rPr>
        <w:t> , które powinny spełniać folie pryzmatyczne typu 2P, 3P i 3PF.</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2. Minimalne wartości współczynnika odblasku R</w:t>
      </w:r>
      <w:r w:rsidRPr="007078D3">
        <w:rPr>
          <w:rFonts w:ascii="Times New Roman" w:hAnsi="Times New Roman" w:cs="Times New Roman"/>
          <w:color w:val="000000"/>
          <w:szCs w:val="20"/>
          <w:vertAlign w:val="subscript"/>
        </w:rPr>
        <w:t>A</w:t>
      </w:r>
      <w:r w:rsidRPr="007078D3">
        <w:rPr>
          <w:rFonts w:ascii="Times New Roman" w:hAnsi="Times New Roman" w:cs="Times New Roman"/>
          <w:color w:val="000000"/>
          <w:szCs w:val="20"/>
        </w:rPr>
        <w:t> folii pryzmatycznej typu 2P</w:t>
      </w:r>
    </w:p>
    <w:tbl>
      <w:tblPr>
        <w:tblW w:w="10085" w:type="dxa"/>
        <w:tblInd w:w="113" w:type="dxa"/>
        <w:shd w:val="clear" w:color="auto" w:fill="EAEAEA"/>
        <w:tblCellMar>
          <w:left w:w="0" w:type="dxa"/>
          <w:right w:w="0" w:type="dxa"/>
        </w:tblCellMar>
        <w:tblLook w:val="04A0"/>
      </w:tblPr>
      <w:tblGrid>
        <w:gridCol w:w="1439"/>
        <w:gridCol w:w="1417"/>
        <w:gridCol w:w="992"/>
        <w:gridCol w:w="881"/>
        <w:gridCol w:w="1246"/>
        <w:gridCol w:w="1559"/>
        <w:gridCol w:w="1276"/>
        <w:gridCol w:w="1275"/>
      </w:tblGrid>
      <w:tr w:rsidR="00E847A6" w:rsidRPr="00EF535A" w:rsidTr="007E50B3">
        <w:tc>
          <w:tcPr>
            <w:tcW w:w="2856" w:type="dxa"/>
            <w:gridSpan w:val="2"/>
            <w:tcBorders>
              <w:top w:val="single" w:sz="8" w:space="0" w:color="auto"/>
              <w:left w:val="single" w:sz="8" w:space="0" w:color="auto"/>
              <w:bottom w:val="double" w:sz="4"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Geometria pomiarów</w:t>
            </w:r>
          </w:p>
        </w:tc>
        <w:tc>
          <w:tcPr>
            <w:tcW w:w="7229" w:type="dxa"/>
            <w:gridSpan w:val="6"/>
            <w:tcBorders>
              <w:top w:val="single" w:sz="8" w:space="0" w:color="auto"/>
              <w:left w:val="nil"/>
              <w:bottom w:val="double" w:sz="4"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Współczynnik odblasku R</w:t>
            </w:r>
            <w:r w:rsidRPr="00EF535A">
              <w:rPr>
                <w:rFonts w:ascii="Times New Roman" w:hAnsi="Times New Roman" w:cs="Times New Roman"/>
                <w:sz w:val="18"/>
                <w:szCs w:val="18"/>
                <w:vertAlign w:val="subscript"/>
              </w:rPr>
              <w:t>A</w:t>
            </w:r>
            <w:r w:rsidRPr="00EF535A">
              <w:rPr>
                <w:rFonts w:ascii="Times New Roman" w:hAnsi="Times New Roman" w:cs="Times New Roman"/>
                <w:sz w:val="18"/>
                <w:szCs w:val="18"/>
              </w:rPr>
              <w:t> [</w:t>
            </w:r>
            <w:r w:rsidRPr="00EF535A">
              <w:rPr>
                <w:rStyle w:val="spelle"/>
                <w:rFonts w:ascii="Times New Roman" w:hAnsi="Times New Roman" w:cs="Times New Roman"/>
                <w:sz w:val="18"/>
                <w:szCs w:val="18"/>
              </w:rPr>
              <w:t>cd</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r w:rsidRPr="00EF535A">
              <w:rPr>
                <w:rFonts w:ascii="Times New Roman" w:hAnsi="Times New Roman" w:cs="Times New Roman"/>
                <w:sz w:val="18"/>
                <w:szCs w:val="18"/>
              </w:rPr>
              <w:t>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w:t>
            </w:r>
          </w:p>
        </w:tc>
      </w:tr>
      <w:tr w:rsidR="00E847A6" w:rsidRPr="00EF535A" w:rsidTr="007E50B3">
        <w:tc>
          <w:tcPr>
            <w:tcW w:w="1439" w:type="dxa"/>
            <w:tcBorders>
              <w:top w:val="nil"/>
              <w:left w:val="single" w:sz="8" w:space="0" w:color="auto"/>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Kąt obserwacji</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α</w:t>
            </w:r>
            <w:r w:rsidRPr="00EF535A">
              <w:rPr>
                <w:rFonts w:ascii="Times New Roman" w:hAnsi="Times New Roman" w:cs="Times New Roman"/>
                <w:sz w:val="18"/>
                <w:szCs w:val="18"/>
                <w:lang w:val="en-US"/>
              </w:rPr>
              <w:t>[</w:t>
            </w:r>
            <w:r w:rsidRPr="00EF535A">
              <w:rPr>
                <w:rFonts w:ascii="Times New Roman" w:hAnsi="Times New Roman" w:cs="Times New Roman"/>
                <w:sz w:val="18"/>
                <w:szCs w:val="18"/>
                <w:vertAlign w:val="superscript"/>
                <w:lang w:val="en-US"/>
              </w:rPr>
              <w:t>o</w:t>
            </w:r>
            <w:r w:rsidRPr="00EF535A">
              <w:rPr>
                <w:rFonts w:ascii="Times New Roman" w:hAnsi="Times New Roman" w:cs="Times New Roman"/>
                <w:sz w:val="18"/>
                <w:szCs w:val="18"/>
                <w:lang w:val="en-US"/>
              </w:rPr>
              <w:t>]</w:t>
            </w:r>
          </w:p>
        </w:tc>
        <w:tc>
          <w:tcPr>
            <w:tcW w:w="1417" w:type="dxa"/>
            <w:tcBorders>
              <w:top w:val="nil"/>
              <w:left w:val="single" w:sz="8" w:space="0" w:color="000000"/>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Kąt oświetlenia</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β1</w:t>
            </w:r>
            <w:r w:rsidRPr="00EF535A">
              <w:rPr>
                <w:rFonts w:ascii="Times New Roman" w:hAnsi="Times New Roman" w:cs="Times New Roman"/>
                <w:sz w:val="18"/>
                <w:szCs w:val="18"/>
                <w:lang w:val="en-US"/>
              </w:rPr>
              <w:t>[</w:t>
            </w:r>
            <w:r w:rsidRPr="00EF535A">
              <w:rPr>
                <w:rFonts w:ascii="Times New Roman" w:hAnsi="Times New Roman" w:cs="Times New Roman"/>
                <w:sz w:val="18"/>
                <w:szCs w:val="18"/>
                <w:vertAlign w:val="superscript"/>
                <w:lang w:val="en-US"/>
              </w:rPr>
              <w:t>o</w:t>
            </w:r>
            <w:r w:rsidRPr="00EF535A">
              <w:rPr>
                <w:rFonts w:ascii="Times New Roman" w:hAnsi="Times New Roman" w:cs="Times New Roman"/>
                <w:sz w:val="18"/>
                <w:szCs w:val="18"/>
                <w:lang w:val="en-US"/>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(β2=0</w:t>
            </w:r>
            <w:r w:rsidRPr="00EF535A">
              <w:rPr>
                <w:rFonts w:ascii="Times New Roman" w:hAnsi="Times New Roman" w:cs="Times New Roman"/>
                <w:sz w:val="18"/>
                <w:szCs w:val="18"/>
                <w:vertAlign w:val="superscript"/>
              </w:rPr>
              <w:t>°</w:t>
            </w:r>
            <w:r w:rsidRPr="00EF535A">
              <w:rPr>
                <w:rFonts w:ascii="Times New Roman" w:hAnsi="Times New Roman" w:cs="Times New Roman"/>
                <w:sz w:val="18"/>
                <w:szCs w:val="18"/>
              </w:rPr>
              <w:t>)</w:t>
            </w:r>
          </w:p>
        </w:tc>
        <w:tc>
          <w:tcPr>
            <w:tcW w:w="992" w:type="dxa"/>
            <w:tcBorders>
              <w:top w:val="nil"/>
              <w:left w:val="nil"/>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Folia biała</w:t>
            </w:r>
          </w:p>
        </w:tc>
        <w:tc>
          <w:tcPr>
            <w:tcW w:w="881" w:type="dxa"/>
            <w:tcBorders>
              <w:top w:val="nil"/>
              <w:left w:val="single" w:sz="8" w:space="0" w:color="000000"/>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Folia żółta</w:t>
            </w:r>
          </w:p>
        </w:tc>
        <w:tc>
          <w:tcPr>
            <w:tcW w:w="1246" w:type="dxa"/>
            <w:tcBorders>
              <w:top w:val="nil"/>
              <w:left w:val="single" w:sz="8" w:space="0" w:color="000000"/>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Folia czerwona</w:t>
            </w:r>
          </w:p>
        </w:tc>
        <w:tc>
          <w:tcPr>
            <w:tcW w:w="1559" w:type="dxa"/>
            <w:tcBorders>
              <w:top w:val="nil"/>
              <w:left w:val="single" w:sz="8" w:space="0" w:color="000000"/>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Folia pomarańczowa</w:t>
            </w:r>
          </w:p>
        </w:tc>
        <w:tc>
          <w:tcPr>
            <w:tcW w:w="1276" w:type="dxa"/>
            <w:tcBorders>
              <w:top w:val="nil"/>
              <w:left w:val="single" w:sz="8" w:space="0" w:color="000000"/>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Folia niebieska</w:t>
            </w:r>
          </w:p>
        </w:tc>
        <w:tc>
          <w:tcPr>
            <w:tcW w:w="1275" w:type="dxa"/>
            <w:tcBorders>
              <w:top w:val="nil"/>
              <w:left w:val="single" w:sz="8" w:space="0" w:color="000000"/>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Folia </w:t>
            </w:r>
            <w:r w:rsidRPr="00EF535A">
              <w:rPr>
                <w:rStyle w:val="spelle"/>
                <w:rFonts w:ascii="Times New Roman" w:hAnsi="Times New Roman" w:cs="Times New Roman"/>
                <w:sz w:val="18"/>
                <w:szCs w:val="18"/>
              </w:rPr>
              <w:t>zielona</w:t>
            </w:r>
          </w:p>
        </w:tc>
      </w:tr>
      <w:tr w:rsidR="00E847A6" w:rsidRPr="00EF535A" w:rsidTr="007E50B3">
        <w:tc>
          <w:tcPr>
            <w:tcW w:w="1439" w:type="dxa"/>
            <w:tcBorders>
              <w:top w:val="nil"/>
              <w:left w:val="single" w:sz="8" w:space="0" w:color="auto"/>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0,33</w:t>
            </w:r>
          </w:p>
        </w:tc>
        <w:tc>
          <w:tcPr>
            <w:tcW w:w="1417" w:type="dxa"/>
            <w:tcBorders>
              <w:top w:val="nil"/>
              <w:left w:val="single" w:sz="8" w:space="0" w:color="000000"/>
              <w:bottom w:val="single" w:sz="8" w:space="0" w:color="000000"/>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w:t>
            </w:r>
          </w:p>
        </w:tc>
        <w:tc>
          <w:tcPr>
            <w:tcW w:w="992" w:type="dxa"/>
            <w:tcBorders>
              <w:top w:val="nil"/>
              <w:left w:val="nil"/>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300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240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165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w:t>
            </w:r>
          </w:p>
        </w:tc>
        <w:tc>
          <w:tcPr>
            <w:tcW w:w="881" w:type="dxa"/>
            <w:tcBorders>
              <w:top w:val="nil"/>
              <w:left w:val="single" w:sz="8" w:space="0" w:color="000000"/>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195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155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110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20</w:t>
            </w:r>
          </w:p>
        </w:tc>
        <w:tc>
          <w:tcPr>
            <w:tcW w:w="1246" w:type="dxa"/>
            <w:tcBorders>
              <w:top w:val="nil"/>
              <w:left w:val="single" w:sz="8" w:space="0" w:color="000000"/>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60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48</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6</w:t>
            </w:r>
          </w:p>
        </w:tc>
        <w:tc>
          <w:tcPr>
            <w:tcW w:w="1559" w:type="dxa"/>
            <w:tcBorders>
              <w:top w:val="nil"/>
              <w:left w:val="single" w:sz="8" w:space="0" w:color="000000"/>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150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120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83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w:t>
            </w:r>
          </w:p>
        </w:tc>
        <w:tc>
          <w:tcPr>
            <w:tcW w:w="1276" w:type="dxa"/>
            <w:tcBorders>
              <w:top w:val="nil"/>
              <w:left w:val="single" w:sz="8" w:space="0" w:color="000000"/>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19</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16</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1275" w:type="dxa"/>
            <w:tcBorders>
              <w:top w:val="nil"/>
              <w:left w:val="single" w:sz="8" w:space="0" w:color="000000"/>
              <w:bottom w:val="single" w:sz="8" w:space="0" w:color="000000"/>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24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17</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w:t>
            </w:r>
          </w:p>
        </w:tc>
      </w:tr>
      <w:tr w:rsidR="00E847A6" w:rsidRPr="00EF535A" w:rsidTr="007E50B3">
        <w:tc>
          <w:tcPr>
            <w:tcW w:w="1439" w:type="dxa"/>
            <w:tcBorders>
              <w:top w:val="nil"/>
              <w:left w:val="single" w:sz="8" w:space="0" w:color="auto"/>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1,0</w:t>
            </w:r>
          </w:p>
        </w:tc>
        <w:tc>
          <w:tcPr>
            <w:tcW w:w="1417" w:type="dxa"/>
            <w:tcBorders>
              <w:top w:val="nil"/>
              <w:left w:val="single" w:sz="8" w:space="0" w:color="000000"/>
              <w:bottom w:val="single" w:sz="8" w:space="0" w:color="000000"/>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w:t>
            </w:r>
          </w:p>
        </w:tc>
        <w:tc>
          <w:tcPr>
            <w:tcW w:w="992" w:type="dxa"/>
            <w:tcBorders>
              <w:top w:val="nil"/>
              <w:left w:val="nil"/>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3,5</w:t>
            </w:r>
          </w:p>
        </w:tc>
        <w:tc>
          <w:tcPr>
            <w:tcW w:w="881" w:type="dxa"/>
            <w:tcBorders>
              <w:top w:val="nil"/>
              <w:left w:val="single" w:sz="8" w:space="0" w:color="000000"/>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1246" w:type="dxa"/>
            <w:tcBorders>
              <w:top w:val="nil"/>
              <w:left w:val="single" w:sz="8" w:space="0" w:color="000000"/>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7</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6</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1559" w:type="dxa"/>
            <w:tcBorders>
              <w:top w:val="nil"/>
              <w:left w:val="single" w:sz="8" w:space="0" w:color="000000"/>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18</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1276" w:type="dxa"/>
            <w:tcBorders>
              <w:top w:val="nil"/>
              <w:left w:val="single" w:sz="8" w:space="0" w:color="000000"/>
              <w:bottom w:val="single" w:sz="8" w:space="0" w:color="000000"/>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275" w:type="dxa"/>
            <w:tcBorders>
              <w:top w:val="nil"/>
              <w:left w:val="single" w:sz="8" w:space="0" w:color="000000"/>
              <w:bottom w:val="single" w:sz="8" w:space="0" w:color="000000"/>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r>
      <w:tr w:rsidR="00E847A6" w:rsidRPr="00EF535A" w:rsidTr="007E50B3">
        <w:tc>
          <w:tcPr>
            <w:tcW w:w="1439" w:type="dxa"/>
            <w:tcBorders>
              <w:top w:val="nil"/>
              <w:left w:val="single" w:sz="8" w:space="0" w:color="auto"/>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w:t>
            </w:r>
          </w:p>
        </w:tc>
        <w:tc>
          <w:tcPr>
            <w:tcW w:w="1417" w:type="dxa"/>
            <w:tcBorders>
              <w:top w:val="nil"/>
              <w:left w:val="single" w:sz="8" w:space="0" w:color="000000"/>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w:t>
            </w:r>
          </w:p>
        </w:tc>
        <w:tc>
          <w:tcPr>
            <w:tcW w:w="992" w:type="dxa"/>
            <w:tcBorders>
              <w:top w:val="nil"/>
              <w:left w:val="nil"/>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9</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w:t>
            </w:r>
          </w:p>
        </w:tc>
        <w:tc>
          <w:tcPr>
            <w:tcW w:w="881" w:type="dxa"/>
            <w:tcBorders>
              <w:top w:val="nil"/>
              <w:left w:val="single" w:sz="8" w:space="0" w:color="000000"/>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8</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6</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1246" w:type="dxa"/>
            <w:tcBorders>
              <w:top w:val="nil"/>
              <w:left w:val="single" w:sz="8" w:space="0" w:color="000000"/>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559" w:type="dxa"/>
            <w:tcBorders>
              <w:top w:val="nil"/>
              <w:left w:val="single" w:sz="8" w:space="0" w:color="000000"/>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7,5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6,5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1276" w:type="dxa"/>
            <w:tcBorders>
              <w:top w:val="nil"/>
              <w:left w:val="single" w:sz="8" w:space="0" w:color="000000"/>
              <w:bottom w:val="single" w:sz="8" w:space="0" w:color="auto"/>
              <w:right w:val="nil"/>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275" w:type="dxa"/>
            <w:tcBorders>
              <w:top w:val="nil"/>
              <w:left w:val="single" w:sz="8" w:space="0" w:color="000000"/>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r>
      <w:tr w:rsidR="00E847A6" w:rsidRPr="00EF535A" w:rsidTr="007E50B3">
        <w:tc>
          <w:tcPr>
            <w:tcW w:w="10085" w:type="dxa"/>
            <w:gridSpan w:val="8"/>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oznacza wartość większą niż zero, ale nieistotną lub nie mającą zastosowania.</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3. Minimalne wartości współczynnika odblasku R</w:t>
      </w:r>
      <w:r w:rsidRPr="007078D3">
        <w:rPr>
          <w:rFonts w:ascii="Times New Roman" w:hAnsi="Times New Roman" w:cs="Times New Roman"/>
          <w:color w:val="000000"/>
          <w:szCs w:val="20"/>
          <w:vertAlign w:val="subscript"/>
        </w:rPr>
        <w:t>A</w:t>
      </w:r>
      <w:r w:rsidRPr="007078D3">
        <w:rPr>
          <w:rFonts w:ascii="Times New Roman" w:hAnsi="Times New Roman" w:cs="Times New Roman"/>
          <w:color w:val="000000"/>
          <w:szCs w:val="20"/>
        </w:rPr>
        <w:t> folii pryzmatycznej typu 3P</w:t>
      </w:r>
    </w:p>
    <w:tbl>
      <w:tblPr>
        <w:tblW w:w="10085" w:type="dxa"/>
        <w:tblInd w:w="113" w:type="dxa"/>
        <w:shd w:val="clear" w:color="auto" w:fill="EAEAEA"/>
        <w:tblCellMar>
          <w:left w:w="0" w:type="dxa"/>
          <w:right w:w="0" w:type="dxa"/>
        </w:tblCellMar>
        <w:tblLook w:val="04A0"/>
      </w:tblPr>
      <w:tblGrid>
        <w:gridCol w:w="1418"/>
        <w:gridCol w:w="1417"/>
        <w:gridCol w:w="992"/>
        <w:gridCol w:w="851"/>
        <w:gridCol w:w="1297"/>
        <w:gridCol w:w="1656"/>
        <w:gridCol w:w="1372"/>
        <w:gridCol w:w="1082"/>
      </w:tblGrid>
      <w:tr w:rsidR="00E847A6" w:rsidRPr="007078D3" w:rsidTr="007E50B3">
        <w:trPr>
          <w:tblHeader/>
        </w:trPr>
        <w:tc>
          <w:tcPr>
            <w:tcW w:w="2835" w:type="dxa"/>
            <w:gridSpan w:val="2"/>
            <w:tcBorders>
              <w:top w:val="single" w:sz="8" w:space="0" w:color="auto"/>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Geometria pomiarów</w:t>
            </w:r>
          </w:p>
        </w:tc>
        <w:tc>
          <w:tcPr>
            <w:tcW w:w="7250" w:type="dxa"/>
            <w:gridSpan w:val="6"/>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Współczynnik odblasku R</w:t>
            </w:r>
            <w:r w:rsidRPr="007078D3">
              <w:rPr>
                <w:rFonts w:ascii="Times New Roman" w:hAnsi="Times New Roman" w:cs="Times New Roman"/>
                <w:szCs w:val="20"/>
                <w:vertAlign w:val="subscript"/>
              </w:rPr>
              <w:t>A</w:t>
            </w:r>
            <w:r w:rsidRPr="007078D3">
              <w:rPr>
                <w:rFonts w:ascii="Times New Roman" w:hAnsi="Times New Roman" w:cs="Times New Roman"/>
                <w:szCs w:val="20"/>
              </w:rPr>
              <w:t> [</w:t>
            </w:r>
            <w:r w:rsidRPr="007078D3">
              <w:rPr>
                <w:rStyle w:val="spelle"/>
                <w:rFonts w:ascii="Times New Roman" w:hAnsi="Times New Roman" w:cs="Times New Roman"/>
                <w:szCs w:val="20"/>
              </w:rPr>
              <w:t>cd</w:t>
            </w:r>
            <w:r w:rsidRPr="007078D3">
              <w:rPr>
                <w:rFonts w:ascii="Times New Roman" w:hAnsi="Times New Roman" w:cs="Times New Roman"/>
                <w:szCs w:val="20"/>
              </w:rPr>
              <w:t> lx</w:t>
            </w:r>
            <w:r w:rsidRPr="007078D3">
              <w:rPr>
                <w:rFonts w:ascii="Times New Roman" w:hAnsi="Times New Roman" w:cs="Times New Roman"/>
                <w:szCs w:val="20"/>
                <w:vertAlign w:val="superscript"/>
              </w:rPr>
              <w:t>-1</w:t>
            </w:r>
            <w:r w:rsidRPr="007078D3">
              <w:rPr>
                <w:rFonts w:ascii="Times New Roman" w:hAnsi="Times New Roman" w:cs="Times New Roman"/>
                <w:szCs w:val="20"/>
              </w:rPr>
              <w:t> m</w:t>
            </w:r>
            <w:r w:rsidRPr="007078D3">
              <w:rPr>
                <w:rFonts w:ascii="Times New Roman" w:hAnsi="Times New Roman" w:cs="Times New Roman"/>
                <w:szCs w:val="20"/>
                <w:vertAlign w:val="superscript"/>
              </w:rPr>
              <w:t>-2</w:t>
            </w:r>
            <w:r w:rsidRPr="007078D3">
              <w:rPr>
                <w:rFonts w:ascii="Times New Roman" w:hAnsi="Times New Roman" w:cs="Times New Roman"/>
                <w:szCs w:val="20"/>
              </w:rPr>
              <w:t>]</w:t>
            </w:r>
          </w:p>
        </w:tc>
      </w:tr>
      <w:tr w:rsidR="00E847A6" w:rsidRPr="007078D3" w:rsidTr="007E50B3">
        <w:tc>
          <w:tcPr>
            <w:tcW w:w="1418" w:type="dxa"/>
            <w:tcBorders>
              <w:top w:val="nil"/>
              <w:left w:val="single" w:sz="8" w:space="0" w:color="auto"/>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Kąt obserwacji</w:t>
            </w:r>
          </w:p>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a[</w:t>
            </w:r>
            <w:r w:rsidRPr="007078D3">
              <w:rPr>
                <w:rFonts w:ascii="Times New Roman" w:hAnsi="Times New Roman" w:cs="Times New Roman"/>
                <w:szCs w:val="20"/>
                <w:vertAlign w:val="superscript"/>
                <w:lang w:val="en-US"/>
              </w:rPr>
              <w:t>o</w:t>
            </w:r>
            <w:r w:rsidRPr="007078D3">
              <w:rPr>
                <w:rFonts w:ascii="Times New Roman" w:hAnsi="Times New Roman" w:cs="Times New Roman"/>
                <w:szCs w:val="20"/>
                <w:lang w:val="en-US"/>
              </w:rPr>
              <w:t>]</w:t>
            </w:r>
          </w:p>
        </w:tc>
        <w:tc>
          <w:tcPr>
            <w:tcW w:w="1417"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Kąt oświetlenia</w:t>
            </w:r>
          </w:p>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β</w:t>
            </w:r>
            <w:r w:rsidRPr="007078D3">
              <w:rPr>
                <w:rFonts w:ascii="Times New Roman" w:hAnsi="Times New Roman" w:cs="Times New Roman"/>
                <w:szCs w:val="20"/>
              </w:rPr>
              <w:t> [°]</w:t>
            </w:r>
          </w:p>
        </w:tc>
        <w:tc>
          <w:tcPr>
            <w:tcW w:w="992"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Folia</w:t>
            </w:r>
          </w:p>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biała</w:t>
            </w:r>
          </w:p>
        </w:tc>
        <w:tc>
          <w:tcPr>
            <w:tcW w:w="851"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Folia</w:t>
            </w:r>
          </w:p>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żółta</w:t>
            </w:r>
          </w:p>
        </w:tc>
        <w:tc>
          <w:tcPr>
            <w:tcW w:w="1297"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Folia czerwona</w:t>
            </w:r>
          </w:p>
        </w:tc>
        <w:tc>
          <w:tcPr>
            <w:tcW w:w="1656"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Folia pomarańczowa</w:t>
            </w:r>
          </w:p>
        </w:tc>
        <w:tc>
          <w:tcPr>
            <w:tcW w:w="1372"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Folia</w:t>
            </w:r>
          </w:p>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niebieska</w:t>
            </w:r>
          </w:p>
        </w:tc>
        <w:tc>
          <w:tcPr>
            <w:tcW w:w="1082"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Folia</w:t>
            </w:r>
          </w:p>
          <w:p w:rsidR="00E847A6" w:rsidRPr="007078D3" w:rsidRDefault="00E847A6" w:rsidP="007E50B3">
            <w:pPr>
              <w:jc w:val="center"/>
              <w:rPr>
                <w:rFonts w:ascii="Times New Roman" w:hAnsi="Times New Roman" w:cs="Times New Roman"/>
                <w:szCs w:val="20"/>
              </w:rPr>
            </w:pPr>
            <w:r w:rsidRPr="007078D3">
              <w:rPr>
                <w:rStyle w:val="spelle"/>
                <w:rFonts w:ascii="Times New Roman" w:hAnsi="Times New Roman" w:cs="Times New Roman"/>
                <w:szCs w:val="20"/>
              </w:rPr>
              <w:t>zielona</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0,1</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5</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850</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rPr>
              <w:t>550</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170</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425</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55</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85</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0,2</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5</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625</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400</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125</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310</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40</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60</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0,33</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5</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425</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275</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85</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210</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28</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40</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0,1</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15</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600</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390</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120</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300</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40</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60</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0,2</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15</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450</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290</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90</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225</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30</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45</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0,33</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15</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300</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195</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60</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150</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20</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30</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0,1</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30</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425</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275</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85</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210</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28</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40</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0,2</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30</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325</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210</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65</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160</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20</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30</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0,33</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30</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225</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145</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45</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110</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15</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20</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0,1</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40</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275</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175</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55</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135</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18</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25</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0,2</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40</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200</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130</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40</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100</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13</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20</w:t>
            </w:r>
          </w:p>
        </w:tc>
      </w:tr>
      <w:tr w:rsidR="00E847A6" w:rsidRPr="007078D3" w:rsidTr="007E50B3">
        <w:tc>
          <w:tcPr>
            <w:tcW w:w="1418"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0,33</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40</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150</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95</w:t>
            </w:r>
          </w:p>
        </w:tc>
        <w:tc>
          <w:tcPr>
            <w:tcW w:w="129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30</w:t>
            </w:r>
          </w:p>
        </w:tc>
        <w:tc>
          <w:tcPr>
            <w:tcW w:w="1656"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75</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10</w:t>
            </w:r>
          </w:p>
        </w:tc>
        <w:tc>
          <w:tcPr>
            <w:tcW w:w="108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7078D3" w:rsidRDefault="00E847A6" w:rsidP="007E50B3">
            <w:pPr>
              <w:jc w:val="center"/>
              <w:rPr>
                <w:rFonts w:ascii="Times New Roman" w:hAnsi="Times New Roman" w:cs="Times New Roman"/>
                <w:szCs w:val="20"/>
              </w:rPr>
            </w:pPr>
            <w:r w:rsidRPr="007078D3">
              <w:rPr>
                <w:rFonts w:ascii="Times New Roman" w:hAnsi="Times New Roman" w:cs="Times New Roman"/>
                <w:szCs w:val="20"/>
                <w:lang w:val="en-US"/>
              </w:rPr>
              <w:t>15</w:t>
            </w:r>
          </w:p>
        </w:tc>
      </w:tr>
    </w:tbl>
    <w:p w:rsidR="00E847A6" w:rsidRPr="007078D3" w:rsidRDefault="00E847A6" w:rsidP="00E847A6">
      <w:pPr>
        <w:ind w:left="1134" w:hanging="1134"/>
        <w:rPr>
          <w:rFonts w:ascii="Times New Roman" w:hAnsi="Times New Roman" w:cs="Times New Roman"/>
          <w:color w:val="000000"/>
          <w:szCs w:val="20"/>
        </w:rPr>
      </w:pPr>
      <w:r w:rsidRPr="007078D3">
        <w:rPr>
          <w:rFonts w:ascii="Times New Roman" w:hAnsi="Times New Roman" w:cs="Times New Roman"/>
          <w:color w:val="000000"/>
          <w:szCs w:val="20"/>
        </w:rPr>
        <w:t>Tablica 4.    Minimalne wartości współczynnika odblasku R</w:t>
      </w:r>
      <w:r w:rsidRPr="007078D3">
        <w:rPr>
          <w:rFonts w:ascii="Times New Roman" w:hAnsi="Times New Roman" w:cs="Times New Roman"/>
          <w:color w:val="000000"/>
          <w:szCs w:val="20"/>
          <w:vertAlign w:val="subscript"/>
        </w:rPr>
        <w:t>A</w:t>
      </w:r>
      <w:r w:rsidRPr="007078D3">
        <w:rPr>
          <w:rFonts w:ascii="Times New Roman" w:hAnsi="Times New Roman" w:cs="Times New Roman"/>
          <w:color w:val="000000"/>
          <w:szCs w:val="20"/>
        </w:rPr>
        <w:t> folii pryzmatycznej fluorescencyjnej typu 3PF</w:t>
      </w:r>
    </w:p>
    <w:tbl>
      <w:tblPr>
        <w:tblW w:w="5643" w:type="dxa"/>
        <w:tblInd w:w="113" w:type="dxa"/>
        <w:shd w:val="clear" w:color="auto" w:fill="EAEAEA"/>
        <w:tblCellMar>
          <w:left w:w="0" w:type="dxa"/>
          <w:right w:w="0" w:type="dxa"/>
        </w:tblCellMar>
        <w:tblLook w:val="04A0"/>
      </w:tblPr>
      <w:tblGrid>
        <w:gridCol w:w="1701"/>
        <w:gridCol w:w="1770"/>
        <w:gridCol w:w="2172"/>
      </w:tblGrid>
      <w:tr w:rsidR="00E847A6" w:rsidRPr="00EF535A" w:rsidTr="007E50B3">
        <w:trPr>
          <w:trHeight w:val="318"/>
        </w:trPr>
        <w:tc>
          <w:tcPr>
            <w:tcW w:w="1701" w:type="dxa"/>
            <w:vMerge w:val="restart"/>
            <w:tcBorders>
              <w:top w:val="single" w:sz="8" w:space="0" w:color="auto"/>
              <w:left w:val="single" w:sz="8" w:space="0" w:color="auto"/>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Kąt obserwacji</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α[°]</w:t>
            </w:r>
          </w:p>
        </w:tc>
        <w:tc>
          <w:tcPr>
            <w:tcW w:w="1770" w:type="dxa"/>
            <w:vMerge w:val="restart"/>
            <w:tcBorders>
              <w:top w:val="single" w:sz="8" w:space="0" w:color="auto"/>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Kąt oświetlenia</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β</w:t>
            </w:r>
            <w:r w:rsidRPr="00EF535A">
              <w:rPr>
                <w:rFonts w:ascii="Times New Roman" w:hAnsi="Times New Roman" w:cs="Times New Roman"/>
                <w:sz w:val="18"/>
                <w:szCs w:val="18"/>
                <w:vertAlign w:val="subscript"/>
              </w:rPr>
              <w:t>1</w:t>
            </w:r>
            <w:r w:rsidRPr="00EF535A">
              <w:rPr>
                <w:rFonts w:ascii="Times New Roman" w:hAnsi="Times New Roman" w:cs="Times New Roman"/>
                <w:sz w:val="18"/>
                <w:szCs w:val="18"/>
              </w:rPr>
              <w:t>[°]</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(β</w:t>
            </w:r>
            <w:r w:rsidRPr="00EF535A">
              <w:rPr>
                <w:rFonts w:ascii="Times New Roman" w:hAnsi="Times New Roman" w:cs="Times New Roman"/>
                <w:sz w:val="18"/>
                <w:szCs w:val="18"/>
                <w:vertAlign w:val="subscript"/>
              </w:rPr>
              <w:t>2</w:t>
            </w:r>
            <w:r w:rsidRPr="00EF535A">
              <w:rPr>
                <w:rFonts w:ascii="Times New Roman" w:hAnsi="Times New Roman" w:cs="Times New Roman"/>
                <w:sz w:val="18"/>
                <w:szCs w:val="18"/>
              </w:rPr>
              <w:t>=0</w:t>
            </w:r>
            <w:r w:rsidRPr="00EF535A">
              <w:rPr>
                <w:rFonts w:ascii="Times New Roman" w:hAnsi="Times New Roman" w:cs="Times New Roman"/>
                <w:sz w:val="18"/>
                <w:szCs w:val="18"/>
                <w:vertAlign w:val="superscript"/>
              </w:rPr>
              <w:t>°</w:t>
            </w:r>
            <w:r w:rsidRPr="00EF535A">
              <w:rPr>
                <w:rFonts w:ascii="Times New Roman" w:hAnsi="Times New Roman" w:cs="Times New Roman"/>
                <w:sz w:val="18"/>
                <w:szCs w:val="18"/>
              </w:rPr>
              <w:t>)</w:t>
            </w:r>
          </w:p>
        </w:tc>
        <w:tc>
          <w:tcPr>
            <w:tcW w:w="2172" w:type="dxa"/>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Barwa lica znaku</w:t>
            </w:r>
          </w:p>
        </w:tc>
      </w:tr>
      <w:tr w:rsidR="00E847A6" w:rsidRPr="00EF535A" w:rsidTr="007E50B3">
        <w:trPr>
          <w:trHeight w:val="941"/>
        </w:trPr>
        <w:tc>
          <w:tcPr>
            <w:tcW w:w="0" w:type="auto"/>
            <w:vMerge/>
            <w:tcBorders>
              <w:top w:val="single" w:sz="8" w:space="0" w:color="auto"/>
              <w:left w:val="single" w:sz="8" w:space="0" w:color="auto"/>
              <w:bottom w:val="double" w:sz="4" w:space="0" w:color="auto"/>
              <w:right w:val="single" w:sz="8" w:space="0" w:color="auto"/>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c>
          <w:tcPr>
            <w:tcW w:w="0" w:type="auto"/>
            <w:vMerge/>
            <w:tcBorders>
              <w:top w:val="single" w:sz="8" w:space="0" w:color="auto"/>
              <w:left w:val="nil"/>
              <w:bottom w:val="double" w:sz="4" w:space="0" w:color="auto"/>
              <w:right w:val="single" w:sz="8" w:space="0" w:color="auto"/>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c>
          <w:tcPr>
            <w:tcW w:w="2172"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fluorescencyjna żółto-zielona</w:t>
            </w:r>
          </w:p>
        </w:tc>
      </w:tr>
      <w:tr w:rsidR="00E847A6" w:rsidRPr="00EF535A" w:rsidTr="007E50B3">
        <w:trPr>
          <w:trHeight w:val="227"/>
        </w:trPr>
        <w:tc>
          <w:tcPr>
            <w:tcW w:w="1701"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0,2</w:t>
            </w:r>
          </w:p>
        </w:tc>
        <w:tc>
          <w:tcPr>
            <w:tcW w:w="177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21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375</w:t>
            </w:r>
          </w:p>
        </w:tc>
      </w:tr>
      <w:tr w:rsidR="00E847A6" w:rsidRPr="00EF535A" w:rsidTr="007E50B3">
        <w:trPr>
          <w:trHeight w:val="227"/>
        </w:trPr>
        <w:tc>
          <w:tcPr>
            <w:tcW w:w="1701"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0,33</w:t>
            </w:r>
          </w:p>
        </w:tc>
        <w:tc>
          <w:tcPr>
            <w:tcW w:w="177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21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270</w:t>
            </w:r>
          </w:p>
        </w:tc>
      </w:tr>
      <w:tr w:rsidR="00E847A6" w:rsidRPr="00EF535A" w:rsidTr="007E50B3">
        <w:trPr>
          <w:trHeight w:val="227"/>
        </w:trPr>
        <w:tc>
          <w:tcPr>
            <w:tcW w:w="1701" w:type="dxa"/>
            <w:tcBorders>
              <w:top w:val="nil"/>
              <w:left w:val="single" w:sz="8" w:space="0" w:color="auto"/>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w:t>
            </w:r>
          </w:p>
        </w:tc>
        <w:tc>
          <w:tcPr>
            <w:tcW w:w="1770"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w:t>
            </w:r>
          </w:p>
        </w:tc>
        <w:tc>
          <w:tcPr>
            <w:tcW w:w="2172"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70</w:t>
            </w:r>
          </w:p>
        </w:tc>
      </w:tr>
      <w:tr w:rsidR="00E847A6" w:rsidRPr="00EF535A" w:rsidTr="007E50B3">
        <w:trPr>
          <w:trHeight w:val="227"/>
        </w:trPr>
        <w:tc>
          <w:tcPr>
            <w:tcW w:w="1701"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0,2</w:t>
            </w:r>
          </w:p>
        </w:tc>
        <w:tc>
          <w:tcPr>
            <w:tcW w:w="177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w:t>
            </w:r>
          </w:p>
        </w:tc>
        <w:tc>
          <w:tcPr>
            <w:tcW w:w="21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200</w:t>
            </w:r>
          </w:p>
        </w:tc>
      </w:tr>
      <w:tr w:rsidR="00E847A6" w:rsidRPr="00EF535A" w:rsidTr="007E50B3">
        <w:trPr>
          <w:trHeight w:val="227"/>
        </w:trPr>
        <w:tc>
          <w:tcPr>
            <w:tcW w:w="1701"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0,33</w:t>
            </w:r>
          </w:p>
        </w:tc>
        <w:tc>
          <w:tcPr>
            <w:tcW w:w="177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w:t>
            </w:r>
          </w:p>
        </w:tc>
        <w:tc>
          <w:tcPr>
            <w:tcW w:w="21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140</w:t>
            </w:r>
          </w:p>
        </w:tc>
      </w:tr>
      <w:tr w:rsidR="00E847A6" w:rsidRPr="00EF535A" w:rsidTr="007E50B3">
        <w:trPr>
          <w:trHeight w:val="227"/>
        </w:trPr>
        <w:tc>
          <w:tcPr>
            <w:tcW w:w="1701" w:type="dxa"/>
            <w:tcBorders>
              <w:top w:val="nil"/>
              <w:left w:val="single" w:sz="8" w:space="0" w:color="auto"/>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w:t>
            </w:r>
          </w:p>
        </w:tc>
        <w:tc>
          <w:tcPr>
            <w:tcW w:w="1770"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w:t>
            </w:r>
          </w:p>
        </w:tc>
        <w:tc>
          <w:tcPr>
            <w:tcW w:w="2172"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43</w:t>
            </w:r>
          </w:p>
        </w:tc>
      </w:tr>
      <w:tr w:rsidR="00E847A6" w:rsidRPr="00EF535A" w:rsidTr="007E50B3">
        <w:trPr>
          <w:trHeight w:val="227"/>
        </w:trPr>
        <w:tc>
          <w:tcPr>
            <w:tcW w:w="1701"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0,2</w:t>
            </w:r>
          </w:p>
        </w:tc>
        <w:tc>
          <w:tcPr>
            <w:tcW w:w="177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w:t>
            </w:r>
          </w:p>
        </w:tc>
        <w:tc>
          <w:tcPr>
            <w:tcW w:w="21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36</w:t>
            </w:r>
          </w:p>
        </w:tc>
      </w:tr>
      <w:tr w:rsidR="00E847A6" w:rsidRPr="00EF535A" w:rsidTr="007E50B3">
        <w:trPr>
          <w:trHeight w:val="227"/>
        </w:trPr>
        <w:tc>
          <w:tcPr>
            <w:tcW w:w="1701"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0,33</w:t>
            </w:r>
          </w:p>
        </w:tc>
        <w:tc>
          <w:tcPr>
            <w:tcW w:w="177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w:t>
            </w:r>
          </w:p>
        </w:tc>
        <w:tc>
          <w:tcPr>
            <w:tcW w:w="21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24</w:t>
            </w:r>
          </w:p>
        </w:tc>
      </w:tr>
      <w:tr w:rsidR="00E847A6" w:rsidRPr="00EF535A" w:rsidTr="007E50B3">
        <w:trPr>
          <w:trHeight w:val="227"/>
        </w:trPr>
        <w:tc>
          <w:tcPr>
            <w:tcW w:w="1701"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w:t>
            </w:r>
          </w:p>
        </w:tc>
        <w:tc>
          <w:tcPr>
            <w:tcW w:w="177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w:t>
            </w:r>
          </w:p>
        </w:tc>
        <w:tc>
          <w:tcPr>
            <w:tcW w:w="21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9</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Biorąc pod uwagę dane zawarte w tablicach 2, 3 i.4 klasyfikacja folii odblaskowych przybierze postać podaną w tablicy 5.</w:t>
      </w:r>
    </w:p>
    <w:p w:rsidR="00E847A6" w:rsidRPr="007078D3" w:rsidRDefault="00E847A6" w:rsidP="00E847A6">
      <w:pPr>
        <w:rPr>
          <w:rFonts w:ascii="Times New Roman" w:hAnsi="Times New Roman" w:cs="Times New Roman"/>
          <w:color w:val="000000"/>
          <w:szCs w:val="20"/>
        </w:rPr>
      </w:pPr>
      <w:bookmarkStart w:id="1318" w:name="_Toc421265225"/>
      <w:bookmarkStart w:id="1319" w:name="_Toc421265488"/>
      <w:bookmarkEnd w:id="1318"/>
      <w:bookmarkEnd w:id="1319"/>
      <w:r w:rsidRPr="007078D3">
        <w:rPr>
          <w:rFonts w:ascii="Times New Roman" w:hAnsi="Times New Roman" w:cs="Times New Roman"/>
          <w:color w:val="000000"/>
          <w:szCs w:val="20"/>
        </w:rPr>
        <w:t>Tablica 5. Klasyfikacja folii odblaskowych</w:t>
      </w:r>
    </w:p>
    <w:tbl>
      <w:tblPr>
        <w:tblW w:w="0" w:type="auto"/>
        <w:tblInd w:w="113" w:type="dxa"/>
        <w:shd w:val="clear" w:color="auto" w:fill="EAEAEA"/>
        <w:tblCellMar>
          <w:left w:w="0" w:type="dxa"/>
          <w:right w:w="0" w:type="dxa"/>
        </w:tblCellMar>
        <w:tblLook w:val="04A0"/>
      </w:tblPr>
      <w:tblGrid>
        <w:gridCol w:w="709"/>
        <w:gridCol w:w="2212"/>
        <w:gridCol w:w="3004"/>
        <w:gridCol w:w="2864"/>
      </w:tblGrid>
      <w:tr w:rsidR="00E847A6" w:rsidRPr="00EF535A" w:rsidTr="007E50B3">
        <w:trPr>
          <w:tblHeader/>
        </w:trPr>
        <w:tc>
          <w:tcPr>
            <w:tcW w:w="709" w:type="dxa"/>
            <w:tcBorders>
              <w:top w:val="single" w:sz="8" w:space="0" w:color="auto"/>
              <w:left w:val="single" w:sz="8" w:space="0" w:color="auto"/>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Typ folii</w:t>
            </w:r>
          </w:p>
        </w:tc>
        <w:tc>
          <w:tcPr>
            <w:tcW w:w="2212" w:type="dxa"/>
            <w:tcBorders>
              <w:top w:val="single" w:sz="8" w:space="0" w:color="auto"/>
              <w:left w:val="nil"/>
              <w:bottom w:val="double" w:sz="4"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Rodzaj folii</w:t>
            </w:r>
          </w:p>
        </w:tc>
        <w:tc>
          <w:tcPr>
            <w:tcW w:w="3004" w:type="dxa"/>
            <w:tcBorders>
              <w:top w:val="single" w:sz="8" w:space="0" w:color="auto"/>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Współczynnik odblasku, gdy α=20’; β</w:t>
            </w:r>
            <w:r w:rsidRPr="00EF535A">
              <w:rPr>
                <w:rFonts w:ascii="Times New Roman" w:hAnsi="Times New Roman" w:cs="Times New Roman"/>
                <w:sz w:val="18"/>
                <w:szCs w:val="18"/>
                <w:vertAlign w:val="subscript"/>
              </w:rPr>
              <w:t>1</w:t>
            </w:r>
            <w:r w:rsidRPr="00EF535A">
              <w:rPr>
                <w:rFonts w:ascii="Times New Roman" w:hAnsi="Times New Roman" w:cs="Times New Roman"/>
                <w:sz w:val="18"/>
                <w:szCs w:val="18"/>
              </w:rPr>
              <w:t>=+5</w:t>
            </w:r>
            <w:r w:rsidRPr="00EF535A">
              <w:rPr>
                <w:rFonts w:ascii="Times New Roman" w:hAnsi="Times New Roman" w:cs="Times New Roman"/>
                <w:sz w:val="18"/>
                <w:szCs w:val="18"/>
                <w:vertAlign w:val="superscript"/>
              </w:rPr>
              <w:t>o</w:t>
            </w:r>
            <w:r w:rsidRPr="00EF535A">
              <w:rPr>
                <w:rFonts w:ascii="Times New Roman" w:hAnsi="Times New Roman" w:cs="Times New Roman"/>
                <w:sz w:val="18"/>
                <w:szCs w:val="18"/>
              </w:rPr>
              <w:t> β</w:t>
            </w:r>
            <w:r w:rsidRPr="00EF535A">
              <w:rPr>
                <w:rFonts w:ascii="Times New Roman" w:hAnsi="Times New Roman" w:cs="Times New Roman"/>
                <w:sz w:val="18"/>
                <w:szCs w:val="18"/>
                <w:vertAlign w:val="subscript"/>
              </w:rPr>
              <w:t>2</w:t>
            </w:r>
            <w:r w:rsidRPr="00EF535A">
              <w:rPr>
                <w:rFonts w:ascii="Times New Roman" w:hAnsi="Times New Roman" w:cs="Times New Roman"/>
                <w:sz w:val="18"/>
                <w:szCs w:val="18"/>
              </w:rPr>
              <w:t>=0</w:t>
            </w:r>
            <w:r w:rsidRPr="00EF535A">
              <w:rPr>
                <w:rFonts w:ascii="Times New Roman" w:hAnsi="Times New Roman" w:cs="Times New Roman"/>
                <w:sz w:val="18"/>
                <w:szCs w:val="18"/>
                <w:vertAlign w:val="superscript"/>
              </w:rPr>
              <w:t>o</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folii białej</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r w:rsidRPr="00EF535A">
              <w:rPr>
                <w:rStyle w:val="spelle"/>
                <w:rFonts w:ascii="Times New Roman" w:hAnsi="Times New Roman" w:cs="Times New Roman"/>
                <w:sz w:val="18"/>
                <w:szCs w:val="18"/>
              </w:rPr>
              <w:t>cd</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r w:rsidRPr="00EF535A">
              <w:rPr>
                <w:rFonts w:ascii="Times New Roman" w:hAnsi="Times New Roman" w:cs="Times New Roman"/>
                <w:sz w:val="18"/>
                <w:szCs w:val="18"/>
              </w:rPr>
              <w:t>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w:t>
            </w:r>
          </w:p>
        </w:tc>
        <w:tc>
          <w:tcPr>
            <w:tcW w:w="2864" w:type="dxa"/>
            <w:tcBorders>
              <w:top w:val="single" w:sz="8" w:space="0" w:color="auto"/>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Współczynnik odblasku, gdy α=20’; β</w:t>
            </w:r>
            <w:r w:rsidRPr="00EF535A">
              <w:rPr>
                <w:rFonts w:ascii="Times New Roman" w:hAnsi="Times New Roman" w:cs="Times New Roman"/>
                <w:sz w:val="18"/>
                <w:szCs w:val="18"/>
                <w:vertAlign w:val="subscript"/>
              </w:rPr>
              <w:t>1</w:t>
            </w:r>
            <w:r w:rsidRPr="00EF535A">
              <w:rPr>
                <w:rFonts w:ascii="Times New Roman" w:hAnsi="Times New Roman" w:cs="Times New Roman"/>
                <w:sz w:val="18"/>
                <w:szCs w:val="18"/>
              </w:rPr>
              <w:t>=+30</w:t>
            </w:r>
            <w:r w:rsidRPr="00EF535A">
              <w:rPr>
                <w:rFonts w:ascii="Times New Roman" w:hAnsi="Times New Roman" w:cs="Times New Roman"/>
                <w:sz w:val="18"/>
                <w:szCs w:val="18"/>
                <w:vertAlign w:val="superscript"/>
              </w:rPr>
              <w:t>o</w:t>
            </w:r>
            <w:r w:rsidRPr="00EF535A">
              <w:rPr>
                <w:rFonts w:ascii="Times New Roman" w:hAnsi="Times New Roman" w:cs="Times New Roman"/>
                <w:sz w:val="18"/>
                <w:szCs w:val="18"/>
              </w:rPr>
              <w:t> β</w:t>
            </w:r>
            <w:r w:rsidRPr="00EF535A">
              <w:rPr>
                <w:rFonts w:ascii="Times New Roman" w:hAnsi="Times New Roman" w:cs="Times New Roman"/>
                <w:sz w:val="18"/>
                <w:szCs w:val="18"/>
                <w:vertAlign w:val="subscript"/>
              </w:rPr>
              <w:t>2</w:t>
            </w:r>
            <w:r w:rsidRPr="00EF535A">
              <w:rPr>
                <w:rFonts w:ascii="Times New Roman" w:hAnsi="Times New Roman" w:cs="Times New Roman"/>
                <w:sz w:val="18"/>
                <w:szCs w:val="18"/>
              </w:rPr>
              <w:t>=0</w:t>
            </w:r>
            <w:r w:rsidRPr="00EF535A">
              <w:rPr>
                <w:rFonts w:ascii="Times New Roman" w:hAnsi="Times New Roman" w:cs="Times New Roman"/>
                <w:sz w:val="18"/>
                <w:szCs w:val="18"/>
                <w:vertAlign w:val="superscript"/>
              </w:rPr>
              <w:t>o</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folii białej</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r w:rsidRPr="00EF535A">
              <w:rPr>
                <w:rStyle w:val="spelle"/>
                <w:rFonts w:ascii="Times New Roman" w:hAnsi="Times New Roman" w:cs="Times New Roman"/>
                <w:sz w:val="18"/>
                <w:szCs w:val="18"/>
              </w:rPr>
              <w:t>cd</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r w:rsidRPr="00EF535A">
              <w:rPr>
                <w:rFonts w:ascii="Times New Roman" w:hAnsi="Times New Roman" w:cs="Times New Roman"/>
                <w:sz w:val="18"/>
                <w:szCs w:val="18"/>
              </w:rPr>
              <w:t>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w:t>
            </w:r>
          </w:p>
        </w:tc>
      </w:tr>
      <w:tr w:rsidR="00E847A6" w:rsidRPr="00EF535A" w:rsidTr="007E50B3">
        <w:tc>
          <w:tcPr>
            <w:tcW w:w="70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221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kulkowa</w:t>
            </w:r>
          </w:p>
        </w:tc>
        <w:tc>
          <w:tcPr>
            <w:tcW w:w="300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50</w:t>
            </w:r>
          </w:p>
        </w:tc>
        <w:tc>
          <w:tcPr>
            <w:tcW w:w="286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24</w:t>
            </w:r>
          </w:p>
        </w:tc>
      </w:tr>
      <w:tr w:rsidR="00E847A6" w:rsidRPr="00EF535A" w:rsidTr="007E50B3">
        <w:tc>
          <w:tcPr>
            <w:tcW w:w="70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1P</w:t>
            </w:r>
          </w:p>
        </w:tc>
        <w:tc>
          <w:tcPr>
            <w:tcW w:w="221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pryzmatyczna</w:t>
            </w:r>
          </w:p>
        </w:tc>
        <w:tc>
          <w:tcPr>
            <w:tcW w:w="300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100</w:t>
            </w:r>
          </w:p>
        </w:tc>
        <w:tc>
          <w:tcPr>
            <w:tcW w:w="286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48</w:t>
            </w:r>
          </w:p>
        </w:tc>
      </w:tr>
      <w:tr w:rsidR="00E847A6" w:rsidRPr="00EF535A" w:rsidTr="007E50B3">
        <w:tc>
          <w:tcPr>
            <w:tcW w:w="70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221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kulkowa</w:t>
            </w:r>
          </w:p>
        </w:tc>
        <w:tc>
          <w:tcPr>
            <w:tcW w:w="300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180</w:t>
            </w:r>
          </w:p>
        </w:tc>
        <w:tc>
          <w:tcPr>
            <w:tcW w:w="286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100</w:t>
            </w:r>
          </w:p>
        </w:tc>
      </w:tr>
      <w:tr w:rsidR="00E847A6" w:rsidRPr="00EF535A" w:rsidTr="007E50B3">
        <w:tc>
          <w:tcPr>
            <w:tcW w:w="70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w:t>
            </w:r>
          </w:p>
        </w:tc>
        <w:tc>
          <w:tcPr>
            <w:tcW w:w="221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pryzmatyczna</w:t>
            </w:r>
          </w:p>
        </w:tc>
        <w:tc>
          <w:tcPr>
            <w:tcW w:w="300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300</w:t>
            </w:r>
          </w:p>
        </w:tc>
        <w:tc>
          <w:tcPr>
            <w:tcW w:w="286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165</w:t>
            </w:r>
          </w:p>
        </w:tc>
      </w:tr>
      <w:tr w:rsidR="00E847A6" w:rsidRPr="00EF535A" w:rsidTr="007E50B3">
        <w:tc>
          <w:tcPr>
            <w:tcW w:w="70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3P</w:t>
            </w:r>
          </w:p>
        </w:tc>
        <w:tc>
          <w:tcPr>
            <w:tcW w:w="221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pryzmatyczna</w:t>
            </w:r>
          </w:p>
        </w:tc>
        <w:tc>
          <w:tcPr>
            <w:tcW w:w="300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425</w:t>
            </w:r>
          </w:p>
        </w:tc>
        <w:tc>
          <w:tcPr>
            <w:tcW w:w="286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225</w:t>
            </w:r>
          </w:p>
        </w:tc>
      </w:tr>
      <w:tr w:rsidR="00E847A6" w:rsidRPr="00EF535A" w:rsidTr="007E50B3">
        <w:tc>
          <w:tcPr>
            <w:tcW w:w="70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221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w:t>
            </w:r>
          </w:p>
        </w:tc>
        <w:tc>
          <w:tcPr>
            <w:tcW w:w="300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Współczynnik odblasku folii żółtozielonej [</w:t>
            </w:r>
            <w:r w:rsidRPr="00EF535A">
              <w:rPr>
                <w:rStyle w:val="spelle"/>
                <w:rFonts w:ascii="Times New Roman" w:hAnsi="Times New Roman" w:cs="Times New Roman"/>
                <w:sz w:val="18"/>
                <w:szCs w:val="18"/>
              </w:rPr>
              <w:t>cd</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r w:rsidRPr="00EF535A">
              <w:rPr>
                <w:rFonts w:ascii="Times New Roman" w:hAnsi="Times New Roman" w:cs="Times New Roman"/>
                <w:sz w:val="18"/>
                <w:szCs w:val="18"/>
              </w:rPr>
              <w:t>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w:t>
            </w:r>
          </w:p>
        </w:tc>
        <w:tc>
          <w:tcPr>
            <w:tcW w:w="286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Współczynnik odblasku folii żółtozielonej [</w:t>
            </w:r>
            <w:r w:rsidRPr="00EF535A">
              <w:rPr>
                <w:rStyle w:val="spelle"/>
                <w:rFonts w:ascii="Times New Roman" w:hAnsi="Times New Roman" w:cs="Times New Roman"/>
                <w:sz w:val="18"/>
                <w:szCs w:val="18"/>
              </w:rPr>
              <w:t>cd</w:t>
            </w:r>
            <w:r w:rsidRPr="00EF535A">
              <w:rPr>
                <w:rFonts w:ascii="Times New Roman" w:hAnsi="Times New Roman" w:cs="Times New Roman"/>
                <w:sz w:val="18"/>
                <w:szCs w:val="18"/>
              </w:rPr>
              <w:t> lx</w:t>
            </w:r>
            <w:r w:rsidRPr="00EF535A">
              <w:rPr>
                <w:rFonts w:ascii="Times New Roman" w:hAnsi="Times New Roman" w:cs="Times New Roman"/>
                <w:sz w:val="18"/>
                <w:szCs w:val="18"/>
                <w:vertAlign w:val="superscript"/>
              </w:rPr>
              <w:t>-1</w:t>
            </w:r>
            <w:r w:rsidRPr="00EF535A">
              <w:rPr>
                <w:rFonts w:ascii="Times New Roman" w:hAnsi="Times New Roman" w:cs="Times New Roman"/>
                <w:sz w:val="18"/>
                <w:szCs w:val="18"/>
              </w:rPr>
              <w:t> 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w:t>
            </w:r>
          </w:p>
        </w:tc>
      </w:tr>
      <w:tr w:rsidR="00E847A6" w:rsidRPr="00EF535A" w:rsidTr="007E50B3">
        <w:tc>
          <w:tcPr>
            <w:tcW w:w="709"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3PF</w:t>
            </w:r>
          </w:p>
        </w:tc>
        <w:tc>
          <w:tcPr>
            <w:tcW w:w="221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 xml:space="preserve">pryzmatyczna </w:t>
            </w:r>
            <w:r w:rsidRPr="00EF535A">
              <w:rPr>
                <w:rFonts w:ascii="Times New Roman" w:hAnsi="Times New Roman" w:cs="Times New Roman"/>
                <w:sz w:val="18"/>
                <w:szCs w:val="18"/>
              </w:rPr>
              <w:lastRenderedPageBreak/>
              <w:t>fluorescencyjna</w:t>
            </w:r>
          </w:p>
        </w:tc>
        <w:tc>
          <w:tcPr>
            <w:tcW w:w="300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 270</w:t>
            </w:r>
          </w:p>
        </w:tc>
        <w:tc>
          <w:tcPr>
            <w:tcW w:w="286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 140</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Ponadto należy wziąć pod uwagę następujące zalecenia:</w:t>
      </w:r>
    </w:p>
    <w:p w:rsidR="00E847A6" w:rsidRPr="007078D3" w:rsidRDefault="00E847A6" w:rsidP="00E847A6">
      <w:pPr>
        <w:pStyle w:val="tekstpodstawowywcity31"/>
        <w:spacing w:before="0" w:beforeAutospacing="0" w:after="0" w:afterAutospacing="0"/>
        <w:ind w:left="283" w:hanging="283"/>
        <w:jc w:val="both"/>
        <w:rPr>
          <w:color w:val="000000"/>
          <w:sz w:val="20"/>
          <w:szCs w:val="20"/>
        </w:rPr>
      </w:pPr>
      <w:r w:rsidRPr="007078D3">
        <w:rPr>
          <w:color w:val="000000"/>
          <w:sz w:val="20"/>
          <w:szCs w:val="20"/>
        </w:rPr>
        <w:t>-       dopuszcza się wycinanie kształtów z folii typu 2 i pryzmatycznej pod warunkiem zabezpieczenia ich krawędzi lakierem zalecanym przez producenta folii,</w:t>
      </w:r>
    </w:p>
    <w:p w:rsidR="00E847A6" w:rsidRPr="007078D3" w:rsidRDefault="00E847A6" w:rsidP="00E847A6">
      <w:pPr>
        <w:pStyle w:val="Nagwek"/>
        <w:ind w:left="283" w:hanging="283"/>
        <w:rPr>
          <w:rFonts w:ascii="Times New Roman" w:hAnsi="Times New Roman" w:cs="Times New Roman"/>
          <w:color w:val="000000"/>
          <w:szCs w:val="20"/>
        </w:rPr>
      </w:pPr>
      <w:r w:rsidRPr="007078D3">
        <w:rPr>
          <w:rFonts w:ascii="Times New Roman" w:hAnsi="Times New Roman" w:cs="Times New Roman"/>
          <w:color w:val="000000"/>
          <w:szCs w:val="20"/>
        </w:rPr>
        <w:t>-       nie dopuszcza się stosowania folii o okresie trwałości poniżej 7 lat do znaków stałych,</w:t>
      </w:r>
    </w:p>
    <w:p w:rsidR="00E847A6" w:rsidRPr="007078D3" w:rsidRDefault="00E847A6" w:rsidP="00E847A6">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folie o 2-letnim i 3-letnim okresie trwałości mogą być wykorzystywane do znaków tymczasowych stosowanych do oznakowania robót drogowych, pod warunkiem posiadania aprobaty technicznej lub krajowej oceny technicznej i zachowania zgodności z załącznikiem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 do rozporządzenia [19].</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Minimalna początkowa wartość współczynnika odblasku R</w:t>
      </w:r>
      <w:r w:rsidRPr="007078D3">
        <w:rPr>
          <w:rFonts w:ascii="Times New Roman" w:hAnsi="Times New Roman" w:cs="Times New Roman"/>
          <w:color w:val="000000"/>
          <w:szCs w:val="20"/>
          <w:vertAlign w:val="subscript"/>
        </w:rPr>
        <w:t>A</w:t>
      </w:r>
      <w:r w:rsidRPr="007078D3">
        <w:rPr>
          <w:rFonts w:ascii="Times New Roman" w:hAnsi="Times New Roman" w:cs="Times New Roman"/>
          <w:color w:val="000000"/>
          <w:szCs w:val="20"/>
        </w:rPr>
        <w:t> (cd·lx</w:t>
      </w:r>
      <w:r w:rsidRPr="007078D3">
        <w:rPr>
          <w:rFonts w:ascii="Times New Roman" w:hAnsi="Times New Roman" w:cs="Times New Roman"/>
          <w:color w:val="000000"/>
          <w:szCs w:val="20"/>
          <w:vertAlign w:val="superscript"/>
        </w:rPr>
        <w:t>-1</w:t>
      </w:r>
      <w:r w:rsidRPr="007078D3">
        <w:rPr>
          <w:rFonts w:ascii="Times New Roman" w:hAnsi="Times New Roman" w:cs="Times New Roman"/>
          <w:color w:val="000000"/>
          <w:szCs w:val="20"/>
        </w:rPr>
        <w:t>m</w:t>
      </w:r>
      <w:r w:rsidRPr="007078D3">
        <w:rPr>
          <w:rFonts w:ascii="Times New Roman" w:hAnsi="Times New Roman" w:cs="Times New Roman"/>
          <w:color w:val="000000"/>
          <w:szCs w:val="20"/>
          <w:vertAlign w:val="superscript"/>
        </w:rPr>
        <w:t>-2 </w:t>
      </w:r>
      <w:r w:rsidRPr="007078D3">
        <w:rPr>
          <w:rFonts w:ascii="Times New Roman" w:hAnsi="Times New Roman" w:cs="Times New Roman"/>
          <w:color w:val="000000"/>
          <w:szCs w:val="20"/>
        </w:rPr>
        <w:t>) znaków odblaskowych, zmierzona zgodnie z procedurą zawartą w CIE No.54.2 [27], używając standardowego </w:t>
      </w:r>
      <w:r w:rsidRPr="007078D3">
        <w:rPr>
          <w:rStyle w:val="spelle"/>
          <w:rFonts w:ascii="Times New Roman" w:hAnsi="Times New Roman" w:cs="Times New Roman"/>
          <w:color w:val="000000"/>
          <w:szCs w:val="20"/>
        </w:rPr>
        <w:t>iluminanta</w:t>
      </w:r>
      <w:r w:rsidRPr="007078D3">
        <w:rPr>
          <w:rFonts w:ascii="Times New Roman" w:hAnsi="Times New Roman" w:cs="Times New Roman"/>
          <w:color w:val="000000"/>
          <w:szCs w:val="20"/>
        </w:rPr>
        <w:t> A, powinna spełniać odpowiednio wymagania podane w tablicy 5.</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Współczynnik odblasku R</w:t>
      </w:r>
      <w:r w:rsidRPr="007078D3">
        <w:rPr>
          <w:rFonts w:ascii="Times New Roman" w:hAnsi="Times New Roman" w:cs="Times New Roman"/>
          <w:color w:val="000000"/>
          <w:szCs w:val="20"/>
          <w:vertAlign w:val="subscript"/>
        </w:rPr>
        <w:t>A</w:t>
      </w:r>
      <w:r w:rsidRPr="007078D3">
        <w:rPr>
          <w:rFonts w:ascii="Times New Roman" w:hAnsi="Times New Roman" w:cs="Times New Roman"/>
          <w:color w:val="000000"/>
          <w:szCs w:val="20"/>
        </w:rPr>
        <w:t> dla wszystkich kolorów drukowanych, z wyjątkiem białego, nie powinien być mniejszy niż 70% wartości podanych w tablicy 5 dla znaków z folią typu 1 lub typu 2.</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2.7.2. </w:t>
      </w:r>
      <w:r w:rsidRPr="007078D3">
        <w:rPr>
          <w:rFonts w:ascii="Times New Roman" w:hAnsi="Times New Roman" w:cs="Times New Roman"/>
          <w:color w:val="000000"/>
          <w:szCs w:val="20"/>
        </w:rPr>
        <w:t>Wymagania jakościowe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Powierzchnia licowa znaku powinna być równa, gładka, bez rozwarstwień, pęcherzy i odklejeń na krawędziach. Na powierzchni mogą występować w obrębie jednego pola średnio nie więcej niż 0,7 błędów na powierzchni (kurz, pęcherze) o wielkości najwyżej 1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 Dopuszcza się występowanie płytkich rys i wżerów do głębokości maksymalnie 0,1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Sposób połączenia folii z powierzchnią tarczy znaku powinien uniemożliwiać jej odłączenie od tarczy bez jej zniszczenia.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Dokładność rysunku znaku powinna być taka, aby wady konturów znaku, które mogą powstać przy nanoszeniu farby na odblaskową powierzchnię znaku, nie były większe niż podane w p. 2.7.3.</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Lica znaków wykonane drukiem sitowym powinny być wolne od smug i cieni.</w:t>
      </w:r>
    </w:p>
    <w:p w:rsidR="00E847A6" w:rsidRPr="007078D3" w:rsidRDefault="00E847A6" w:rsidP="00E847A6">
      <w:pPr>
        <w:pStyle w:val="Nagwek"/>
        <w:rPr>
          <w:rFonts w:ascii="Times New Roman" w:hAnsi="Times New Roman" w:cs="Times New Roman"/>
          <w:color w:val="000000"/>
          <w:szCs w:val="20"/>
        </w:rPr>
      </w:pPr>
      <w:r w:rsidRPr="007078D3">
        <w:rPr>
          <w:rFonts w:ascii="Times New Roman" w:hAnsi="Times New Roman" w:cs="Times New Roman"/>
          <w:color w:val="000000"/>
          <w:szCs w:val="20"/>
        </w:rPr>
        <w:t>            Krawędzie lica znaku z folii typu 2 i folii pryzmatycznej powinny być odpowiednio zabezpieczone np. przez lakierowanie lub ramą z profilu ceowego.</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Powłoka lakiernicza w kolorze RAL 7037 na tylnej stronie znaku powinna być równa, gładka bez smug i zacieków. Sprawdzenie barwy polega na ocenie wizualnej przez porównanie ze wzorcem [26].</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2.7.3. </w:t>
      </w:r>
      <w:r w:rsidRPr="007078D3">
        <w:rPr>
          <w:rFonts w:ascii="Times New Roman" w:hAnsi="Times New Roman" w:cs="Times New Roman"/>
          <w:color w:val="000000"/>
          <w:szCs w:val="20"/>
        </w:rPr>
        <w:t>Tolerancje wymiarowe dla lica znaku</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Sprawdzone przymiarem liniowym:</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tolerancje wymiarowe rysunku lica  wykonanego drukiem sitowym wynoszą  ± 1,5 mm,</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tolerancje wymiarowe rysunku lica wykonanego metodą wyklejania wynoszą  ± 2 mm,</w:t>
      </w:r>
    </w:p>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kontury rysunku znaku (obwódka i symbol) muszą być równe z dokładnością w każdym kierunku do 1,0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znakach nowych na każdym z fragmentów powierzchni znaku o wymiarach 4 × 4 cm nie może występować więcej niż 1 lokalna usterka (załamania, pęcherzyki) o wymiarach nie większych niż 1 mm w każdym kierunku. Niedopuszczalne jest występowanie jakichkolwiek zarysowań powierzchni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Na znakach w okresie gwarancji, na każdym z fragmentów powierzchni znaku o wymiarach 4 × 4 cm dopuszcza się do 2 usterek jak wyżej, o wymiarach nie większych niż 1 mm w każdym kierunku. Na powierzchni tej dopuszcza się do 3 zarysowań o szerokości nie większej niż 0,8 mm i całkowitej długości nie większej niż 10 </w:t>
      </w:r>
      <w:r w:rsidRPr="007078D3">
        <w:rPr>
          <w:rStyle w:val="spelle"/>
          <w:rFonts w:ascii="Times New Roman" w:hAnsi="Times New Roman" w:cs="Times New Roman"/>
          <w:color w:val="000000"/>
          <w:szCs w:val="20"/>
        </w:rPr>
        <w:t>cm</w:t>
      </w:r>
      <w:r w:rsidRPr="007078D3">
        <w:rPr>
          <w:rFonts w:ascii="Times New Roman" w:hAnsi="Times New Roman" w:cs="Times New Roman"/>
          <w:color w:val="000000"/>
          <w:szCs w:val="20"/>
        </w:rPr>
        <w:t>. Na całkowitej długości znaku dopuszcza się nie więcej niż 5 rys szerokości nie większej niż 0,8 mm i długości przekraczającej 10 cm - pod warunkiem, że zarysowania te nie zniekształcają treści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Na znakach w okresie gwarancji dopuszcza się również lokalne uszkodzenie folii o powierzchni nie przekraczającej 6 mm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każde - w liczbie nie większej niż pięć na powierzchni znaku małego lub średniego, oraz o powierzchni nie przekraczającej 8 mm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każde - w liczbie nie większej niż 8 na każdym z fragmentów powierzchni znaku dużego lub wielkiego (włączając znaki informacyjne) o wymiarach 1200 × 1200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Uszkodzenia folii nie mogą zniekształcać treści znaku - w przypadku występowania takiego zniekształcenia znak musi być bezzwłocznie wymieniony.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znakach eksploatowanych dopuszczalne jest występowanie co najwyżej dwóch lokalnych ognisk korozji o wymiarach nie przekraczających 2,0 mm w każdym kierunku na powierzchni każdego z fragmentów znaku o wymiarach 4 × 4 </w:t>
      </w:r>
      <w:r w:rsidRPr="007078D3">
        <w:rPr>
          <w:rStyle w:val="spelle"/>
          <w:rFonts w:ascii="Times New Roman" w:hAnsi="Times New Roman" w:cs="Times New Roman"/>
          <w:color w:val="000000"/>
          <w:szCs w:val="20"/>
        </w:rPr>
        <w:t>cm</w:t>
      </w:r>
      <w:r w:rsidRPr="007078D3">
        <w:rPr>
          <w:rFonts w:ascii="Times New Roman" w:hAnsi="Times New Roman" w:cs="Times New Roman"/>
          <w:color w:val="000000"/>
          <w:szCs w:val="20"/>
        </w:rPr>
        <w:t>. W znakach nowych oraz w znakach znajdujących się w okresie wymaganej gwarancji żadna korozja tarczy znaku nie może występować.</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Wymagana jest taka wytrzymałość połączenia folii odblaskowej z tarczą znaku, by po zgięciu tarczy o 90° przy promieniu łuku zgięcia do 10 mm w żadnym miejscu nie uległo ono zniszczeniu.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2.7.4.</w:t>
      </w:r>
      <w:r w:rsidRPr="007078D3">
        <w:rPr>
          <w:rFonts w:ascii="Times New Roman" w:hAnsi="Times New Roman" w:cs="Times New Roman"/>
          <w:color w:val="000000"/>
          <w:szCs w:val="20"/>
        </w:rPr>
        <w:t> Zasady doboru typu folii na lica znaków</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W zależności od usytuowania znaku drogowego i rodzaju drogi zaleca się stosowanie odpowiedniego rodzaju folii odblaskowej zapewniającej dobrą widoczność znaku w nocy zgodnie z tablicą 6.</w:t>
      </w:r>
    </w:p>
    <w:p w:rsidR="00E847A6" w:rsidRPr="007078D3" w:rsidRDefault="00E847A6" w:rsidP="00E847A6">
      <w:pPr>
        <w:ind w:left="992" w:hanging="992"/>
        <w:rPr>
          <w:rFonts w:ascii="Times New Roman" w:hAnsi="Times New Roman" w:cs="Times New Roman"/>
          <w:color w:val="000000"/>
          <w:szCs w:val="20"/>
        </w:rPr>
      </w:pPr>
      <w:r w:rsidRPr="007078D3">
        <w:rPr>
          <w:rFonts w:ascii="Times New Roman" w:hAnsi="Times New Roman" w:cs="Times New Roman"/>
          <w:color w:val="000000"/>
          <w:szCs w:val="20"/>
        </w:rPr>
        <w:t>Tablica 6. Typy foli odblaskowych stosowane na drogach publicznych w zależności od rodzaju i usytuowania znaku drogowego</w:t>
      </w:r>
    </w:p>
    <w:tbl>
      <w:tblPr>
        <w:tblW w:w="8822" w:type="dxa"/>
        <w:tblInd w:w="113" w:type="dxa"/>
        <w:shd w:val="clear" w:color="auto" w:fill="EAEAEA"/>
        <w:tblCellMar>
          <w:left w:w="0" w:type="dxa"/>
          <w:right w:w="0" w:type="dxa"/>
        </w:tblCellMar>
        <w:tblLook w:val="04A0"/>
      </w:tblPr>
      <w:tblGrid>
        <w:gridCol w:w="1340"/>
        <w:gridCol w:w="1372"/>
        <w:gridCol w:w="1417"/>
        <w:gridCol w:w="1361"/>
        <w:gridCol w:w="992"/>
        <w:gridCol w:w="851"/>
        <w:gridCol w:w="992"/>
        <w:gridCol w:w="1021"/>
      </w:tblGrid>
      <w:tr w:rsidR="00E847A6" w:rsidRPr="00EF535A" w:rsidTr="007E50B3">
        <w:trPr>
          <w:trHeight w:val="361"/>
        </w:trPr>
        <w:tc>
          <w:tcPr>
            <w:tcW w:w="1340" w:type="dxa"/>
            <w:vMerge w:val="restart"/>
            <w:tcBorders>
              <w:top w:val="single" w:sz="8" w:space="0" w:color="auto"/>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Rodzaj znaku*</w:t>
            </w:r>
          </w:p>
        </w:tc>
        <w:tc>
          <w:tcPr>
            <w:tcW w:w="1372" w:type="dxa"/>
            <w:vMerge w:val="restart"/>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Usytuowanie znaku</w:t>
            </w:r>
          </w:p>
        </w:tc>
        <w:tc>
          <w:tcPr>
            <w:tcW w:w="6110" w:type="dxa"/>
            <w:gridSpan w:val="6"/>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Warunki otoczenia znaku</w:t>
            </w:r>
          </w:p>
        </w:tc>
      </w:tr>
      <w:tr w:rsidR="00E847A6" w:rsidRPr="00EF535A" w:rsidTr="007E50B3">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c>
          <w:tcPr>
            <w:tcW w:w="3543" w:type="dxa"/>
            <w:gridSpan w:val="3"/>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Otoczenie oświetlone typowo</w:t>
            </w:r>
          </w:p>
        </w:tc>
        <w:tc>
          <w:tcPr>
            <w:tcW w:w="2567" w:type="dxa"/>
            <w:gridSpan w:val="3"/>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Otoczenie jasno oświetlone</w:t>
            </w:r>
          </w:p>
        </w:tc>
      </w:tr>
      <w:tr w:rsidR="00E847A6" w:rsidRPr="00EF535A" w:rsidTr="007E50B3">
        <w:trPr>
          <w:trHeight w:val="921"/>
        </w:trPr>
        <w:tc>
          <w:tcPr>
            <w:tcW w:w="0" w:type="auto"/>
            <w:vMerge/>
            <w:tcBorders>
              <w:top w:val="single" w:sz="8" w:space="0" w:color="auto"/>
              <w:left w:val="single" w:sz="8" w:space="0" w:color="auto"/>
              <w:bottom w:val="single" w:sz="8" w:space="0" w:color="auto"/>
              <w:right w:val="single" w:sz="8" w:space="0" w:color="auto"/>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c>
          <w:tcPr>
            <w:tcW w:w="0" w:type="auto"/>
            <w:vMerge/>
            <w:tcBorders>
              <w:top w:val="single" w:sz="8" w:space="0" w:color="auto"/>
              <w:left w:val="nil"/>
              <w:bottom w:val="single" w:sz="8" w:space="0" w:color="auto"/>
              <w:right w:val="single" w:sz="8" w:space="0" w:color="auto"/>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autostrady i drogi dwu-jezdniowe</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drogi </w:t>
            </w:r>
            <w:r w:rsidRPr="00EF535A">
              <w:rPr>
                <w:rStyle w:val="spelle"/>
                <w:rFonts w:ascii="Times New Roman" w:hAnsi="Times New Roman" w:cs="Times New Roman"/>
                <w:sz w:val="18"/>
                <w:szCs w:val="18"/>
              </w:rPr>
              <w:t>pozamiej-skie</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drogi miejskie</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Style w:val="spelle"/>
                <w:rFonts w:ascii="Times New Roman" w:hAnsi="Times New Roman" w:cs="Times New Roman"/>
                <w:sz w:val="18"/>
                <w:szCs w:val="18"/>
              </w:rPr>
              <w:t>auto-strady</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drogi poza-miejskie</w:t>
            </w:r>
          </w:p>
        </w:tc>
        <w:tc>
          <w:tcPr>
            <w:tcW w:w="72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drogi </w:t>
            </w:r>
            <w:r w:rsidRPr="00EF535A">
              <w:rPr>
                <w:rStyle w:val="spelle"/>
                <w:rFonts w:ascii="Times New Roman" w:hAnsi="Times New Roman" w:cs="Times New Roman"/>
                <w:sz w:val="18"/>
                <w:szCs w:val="18"/>
              </w:rPr>
              <w:t>miej-skie</w:t>
            </w:r>
          </w:p>
        </w:tc>
      </w:tr>
      <w:tr w:rsidR="00E847A6" w:rsidRPr="00EF535A" w:rsidTr="007E50B3">
        <w:trPr>
          <w:trHeight w:val="558"/>
        </w:trPr>
        <w:tc>
          <w:tcPr>
            <w:tcW w:w="1340" w:type="dxa"/>
            <w:vMerge w:val="restart"/>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Wszystkie znaki z wyjątkiem </w:t>
            </w:r>
            <w:r w:rsidRPr="00EF535A">
              <w:rPr>
                <w:rStyle w:val="spelle"/>
                <w:rFonts w:ascii="Times New Roman" w:hAnsi="Times New Roman" w:cs="Times New Roman"/>
                <w:sz w:val="18"/>
                <w:szCs w:val="18"/>
              </w:rPr>
              <w:t>n.w</w:t>
            </w:r>
            <w:r w:rsidRPr="00EF535A">
              <w:rPr>
                <w:rFonts w:ascii="Times New Roman" w:hAnsi="Times New Roman" w:cs="Times New Roman"/>
                <w:sz w:val="18"/>
                <w:szCs w:val="18"/>
              </w:rPr>
              <w:t>.</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 boku jezdni</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 2P</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1, 2</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 2, 2P</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72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w:t>
            </w:r>
          </w:p>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3P</w:t>
            </w:r>
          </w:p>
        </w:tc>
      </w:tr>
      <w:tr w:rsidR="00E847A6" w:rsidRPr="00EF535A" w:rsidTr="007E50B3">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Nad jezdnią</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3P</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3P</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3P</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3P</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3P</w:t>
            </w:r>
          </w:p>
        </w:tc>
        <w:tc>
          <w:tcPr>
            <w:tcW w:w="72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3P</w:t>
            </w:r>
          </w:p>
        </w:tc>
      </w:tr>
      <w:tr w:rsidR="00E847A6" w:rsidRPr="00EF535A" w:rsidTr="007E50B3">
        <w:trPr>
          <w:trHeight w:val="537"/>
        </w:trPr>
        <w:tc>
          <w:tcPr>
            <w:tcW w:w="13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A-7, A-17, B-2, B-20</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 boku jezdni</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 2P</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72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w:t>
            </w:r>
          </w:p>
        </w:tc>
      </w:tr>
      <w:tr w:rsidR="00E847A6" w:rsidRPr="00EF535A" w:rsidTr="007E50B3">
        <w:trPr>
          <w:trHeight w:val="542"/>
        </w:trPr>
        <w:tc>
          <w:tcPr>
            <w:tcW w:w="13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Znaki nakazu</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 boku jezdni</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 3P</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w:t>
            </w:r>
          </w:p>
        </w:tc>
        <w:tc>
          <w:tcPr>
            <w:tcW w:w="72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2P,3P</w:t>
            </w:r>
          </w:p>
        </w:tc>
      </w:tr>
      <w:tr w:rsidR="00E847A6" w:rsidRPr="00EF535A" w:rsidTr="007E50B3">
        <w:trPr>
          <w:trHeight w:val="525"/>
        </w:trPr>
        <w:tc>
          <w:tcPr>
            <w:tcW w:w="13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Roboty na drodze</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 boku jezdni</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 2P</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 2P</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w:t>
            </w:r>
          </w:p>
        </w:tc>
        <w:tc>
          <w:tcPr>
            <w:tcW w:w="72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2P</w:t>
            </w:r>
          </w:p>
        </w:tc>
      </w:tr>
      <w:tr w:rsidR="00E847A6" w:rsidRPr="00EF535A" w:rsidTr="007E50B3">
        <w:trPr>
          <w:trHeight w:val="505"/>
        </w:trPr>
        <w:tc>
          <w:tcPr>
            <w:tcW w:w="1340"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Strefy powolnego ruchu</w:t>
            </w:r>
          </w:p>
        </w:tc>
        <w:tc>
          <w:tcPr>
            <w:tcW w:w="137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 boku jezdni</w:t>
            </w:r>
          </w:p>
        </w:tc>
        <w:tc>
          <w:tcPr>
            <w:tcW w:w="1417"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992"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72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w:t>
            </w:r>
          </w:p>
        </w:tc>
      </w:tr>
    </w:tbl>
    <w:p w:rsidR="00E847A6" w:rsidRPr="007078D3" w:rsidRDefault="00E847A6" w:rsidP="00E847A6">
      <w:pPr>
        <w:ind w:left="142" w:hanging="142"/>
        <w:rPr>
          <w:rFonts w:ascii="Times New Roman" w:hAnsi="Times New Roman" w:cs="Times New Roman"/>
          <w:color w:val="000000"/>
          <w:szCs w:val="20"/>
        </w:rPr>
      </w:pPr>
      <w:r w:rsidRPr="007078D3">
        <w:rPr>
          <w:rFonts w:ascii="Times New Roman" w:hAnsi="Times New Roman" w:cs="Times New Roman"/>
          <w:color w:val="000000"/>
          <w:szCs w:val="20"/>
        </w:rPr>
        <w:t>* Zaleca się oznakowanie szlaków rowerowych z użyciem folii </w:t>
      </w:r>
      <w:r w:rsidRPr="007078D3">
        <w:rPr>
          <w:rStyle w:val="spelle"/>
          <w:rFonts w:ascii="Times New Roman" w:hAnsi="Times New Roman" w:cs="Times New Roman"/>
          <w:color w:val="000000"/>
          <w:szCs w:val="20"/>
        </w:rPr>
        <w:t>nieodblaskowych</w:t>
      </w:r>
      <w:r w:rsidRPr="007078D3">
        <w:rPr>
          <w:rFonts w:ascii="Times New Roman" w:hAnsi="Times New Roman" w:cs="Times New Roman"/>
          <w:color w:val="000000"/>
          <w:szCs w:val="20"/>
        </w:rPr>
        <w:t> oraz w przypadku pojazdów wojskowych dopuszcza się stosowanie folii odblaskowych typu 1.</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Dopuszcza się, w miejscach podwyższonego niebezpieczeństwa, wykonywania lic znaków D-6, D-6a, D-6b, D-6c, tabliczki T-27, tablicy U-3a i U-3b na tle folii pryzmatycznej odblaskowo – fluorescencyjnej żółto-zielonej typu 3PF.</w:t>
      </w:r>
    </w:p>
    <w:p w:rsidR="00E847A6" w:rsidRPr="007078D3" w:rsidRDefault="00E847A6" w:rsidP="00E847A6">
      <w:pPr>
        <w:pStyle w:val="Nagwek3"/>
        <w:spacing w:before="0"/>
        <w:rPr>
          <w:rFonts w:ascii="Times New Roman" w:hAnsi="Times New Roman" w:cs="Times New Roman"/>
          <w:b w:val="0"/>
          <w:color w:val="000000"/>
          <w:szCs w:val="20"/>
        </w:rPr>
      </w:pPr>
      <w:r w:rsidRPr="007078D3">
        <w:rPr>
          <w:rFonts w:ascii="Times New Roman" w:hAnsi="Times New Roman" w:cs="Times New Roman"/>
          <w:color w:val="000000"/>
          <w:szCs w:val="20"/>
        </w:rPr>
        <w:t>2.7.5</w:t>
      </w:r>
      <w:r w:rsidRPr="007078D3">
        <w:rPr>
          <w:rFonts w:ascii="Times New Roman" w:hAnsi="Times New Roman" w:cs="Times New Roman"/>
          <w:b w:val="0"/>
          <w:bCs/>
          <w:color w:val="000000"/>
          <w:szCs w:val="20"/>
        </w:rPr>
        <w:t>. Oznakowanie znaku</w:t>
      </w:r>
    </w:p>
    <w:p w:rsidR="00E847A6" w:rsidRPr="007078D3" w:rsidRDefault="00E847A6" w:rsidP="00E847A6">
      <w:pPr>
        <w:pStyle w:val="Nagwek"/>
        <w:rPr>
          <w:rFonts w:ascii="Times New Roman" w:hAnsi="Times New Roman" w:cs="Times New Roman"/>
          <w:color w:val="000000"/>
          <w:szCs w:val="20"/>
        </w:rPr>
      </w:pPr>
      <w:r w:rsidRPr="007078D3">
        <w:rPr>
          <w:rFonts w:ascii="Times New Roman" w:hAnsi="Times New Roman" w:cs="Times New Roman"/>
          <w:color w:val="000000"/>
          <w:szCs w:val="20"/>
        </w:rPr>
        <w:t>                Każdy wykonany znak drogowy musi mieć naklejoną na rewersie naklejkę zawierającą następujące informacje:</w:t>
      </w:r>
    </w:p>
    <w:p w:rsidR="00E847A6" w:rsidRPr="007078D3" w:rsidRDefault="00E847A6" w:rsidP="00E847A6">
      <w:pPr>
        <w:ind w:left="436" w:hanging="436"/>
        <w:rPr>
          <w:rFonts w:ascii="Times New Roman" w:hAnsi="Times New Roman" w:cs="Times New Roman"/>
          <w:color w:val="000000"/>
          <w:szCs w:val="20"/>
        </w:rPr>
      </w:pPr>
      <w:r w:rsidRPr="007078D3">
        <w:rPr>
          <w:rFonts w:ascii="Times New Roman" w:hAnsi="Times New Roman" w:cs="Times New Roman"/>
          <w:color w:val="000000"/>
          <w:szCs w:val="20"/>
        </w:rPr>
        <w:t>-            numer i datę normy tj. PN-EN 12899-1:2010 [1],</w:t>
      </w:r>
    </w:p>
    <w:p w:rsidR="00E847A6" w:rsidRPr="007078D3" w:rsidRDefault="00E847A6" w:rsidP="00E847A6">
      <w:pPr>
        <w:ind w:left="436" w:hanging="436"/>
        <w:rPr>
          <w:rFonts w:ascii="Times New Roman" w:hAnsi="Times New Roman" w:cs="Times New Roman"/>
          <w:color w:val="000000"/>
          <w:szCs w:val="20"/>
        </w:rPr>
      </w:pPr>
      <w:r w:rsidRPr="007078D3">
        <w:rPr>
          <w:rFonts w:ascii="Times New Roman" w:hAnsi="Times New Roman" w:cs="Times New Roman"/>
          <w:color w:val="000000"/>
          <w:szCs w:val="20"/>
        </w:rPr>
        <w:t>-            klasy istotnych właściwości wyrobu,</w:t>
      </w:r>
    </w:p>
    <w:p w:rsidR="00E847A6" w:rsidRPr="007078D3" w:rsidRDefault="00E847A6" w:rsidP="00E847A6">
      <w:pPr>
        <w:ind w:left="436" w:hanging="436"/>
        <w:rPr>
          <w:rFonts w:ascii="Times New Roman" w:hAnsi="Times New Roman" w:cs="Times New Roman"/>
          <w:color w:val="000000"/>
          <w:szCs w:val="20"/>
        </w:rPr>
      </w:pPr>
      <w:r w:rsidRPr="007078D3">
        <w:rPr>
          <w:rFonts w:ascii="Times New Roman" w:hAnsi="Times New Roman" w:cs="Times New Roman"/>
          <w:color w:val="000000"/>
          <w:szCs w:val="20"/>
        </w:rPr>
        <w:t>-            miesiąc i dwie ostatnie cyfry roku produkcji</w:t>
      </w:r>
    </w:p>
    <w:p w:rsidR="00E847A6" w:rsidRPr="007078D3" w:rsidRDefault="00E847A6" w:rsidP="00E847A6">
      <w:pPr>
        <w:ind w:left="436" w:hanging="436"/>
        <w:rPr>
          <w:rFonts w:ascii="Times New Roman" w:hAnsi="Times New Roman" w:cs="Times New Roman"/>
          <w:color w:val="000000"/>
          <w:szCs w:val="20"/>
        </w:rPr>
      </w:pPr>
      <w:r w:rsidRPr="007078D3">
        <w:rPr>
          <w:rFonts w:ascii="Times New Roman" w:hAnsi="Times New Roman" w:cs="Times New Roman"/>
          <w:color w:val="000000"/>
          <w:szCs w:val="20"/>
        </w:rPr>
        <w:t>-            nazwę, znak </w:t>
      </w:r>
      <w:r w:rsidRPr="007078D3">
        <w:rPr>
          <w:rStyle w:val="spelle"/>
          <w:rFonts w:ascii="Times New Roman" w:hAnsi="Times New Roman" w:cs="Times New Roman"/>
          <w:color w:val="000000"/>
          <w:szCs w:val="20"/>
        </w:rPr>
        <w:t>handlowy</w:t>
      </w:r>
      <w:r w:rsidRPr="007078D3">
        <w:rPr>
          <w:rFonts w:ascii="Times New Roman" w:hAnsi="Times New Roman" w:cs="Times New Roman"/>
          <w:color w:val="000000"/>
          <w:szCs w:val="20"/>
        </w:rPr>
        <w:t> i inne oznaczenia identyfikujące producenta lub dostawcę jeśli nie jest producentem,</w:t>
      </w:r>
    </w:p>
    <w:p w:rsidR="00E847A6" w:rsidRPr="007078D3" w:rsidRDefault="00E847A6" w:rsidP="00E847A6">
      <w:pPr>
        <w:ind w:left="436" w:hanging="436"/>
        <w:rPr>
          <w:rFonts w:ascii="Times New Roman" w:hAnsi="Times New Roman" w:cs="Times New Roman"/>
          <w:color w:val="000000"/>
          <w:szCs w:val="20"/>
        </w:rPr>
      </w:pPr>
      <w:r w:rsidRPr="007078D3">
        <w:rPr>
          <w:rFonts w:ascii="Times New Roman" w:hAnsi="Times New Roman" w:cs="Times New Roman"/>
          <w:color w:val="000000"/>
          <w:szCs w:val="20"/>
        </w:rPr>
        <w:t>-            znak budowlany lub znak CE,</w:t>
      </w:r>
    </w:p>
    <w:p w:rsidR="00E847A6" w:rsidRPr="007078D3" w:rsidRDefault="00E847A6" w:rsidP="00E847A6">
      <w:pPr>
        <w:ind w:left="436" w:hanging="436"/>
        <w:rPr>
          <w:rFonts w:ascii="Times New Roman" w:hAnsi="Times New Roman" w:cs="Times New Roman"/>
          <w:color w:val="000000"/>
          <w:szCs w:val="20"/>
        </w:rPr>
      </w:pPr>
      <w:r w:rsidRPr="007078D3">
        <w:rPr>
          <w:rFonts w:ascii="Times New Roman" w:hAnsi="Times New Roman" w:cs="Times New Roman"/>
          <w:color w:val="000000"/>
          <w:szCs w:val="20"/>
        </w:rPr>
        <w:t>-            numer certyfikatu zgodności lub certyfikatu stałości właściwości użytkowych i numer jednostki certyfikującej.</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Oznakowanie znaku powinno być wykonane w sposób trwały i wyraźny, czytelny z normalnej odległości widzenia, a całkowita powierzchnia naklejki nie była większa niż 30 cm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 Czytelność i trwałość cechy na tylnej stronie tarczy znaku nie powinna być niższa od wymaganej trwałości znaku. Naklejkę należy wykonać z folii </w:t>
      </w:r>
      <w:r w:rsidRPr="007078D3">
        <w:rPr>
          <w:rStyle w:val="spelle"/>
          <w:rFonts w:ascii="Times New Roman" w:hAnsi="Times New Roman" w:cs="Times New Roman"/>
          <w:color w:val="000000"/>
          <w:szCs w:val="20"/>
        </w:rPr>
        <w:t>nieodblaskowej</w:t>
      </w:r>
      <w:r w:rsidRPr="007078D3">
        <w:rPr>
          <w:rFonts w:ascii="Times New Roman" w:hAnsi="Times New Roman" w:cs="Times New Roman"/>
          <w:color w:val="000000"/>
          <w:szCs w:val="20"/>
        </w:rPr>
        <w:t>.</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2.8. Znaki podświetlane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2.8.1. </w:t>
      </w:r>
      <w:r w:rsidRPr="007078D3">
        <w:rPr>
          <w:rFonts w:ascii="Times New Roman" w:hAnsi="Times New Roman" w:cs="Times New Roman"/>
          <w:color w:val="000000"/>
          <w:szCs w:val="20"/>
        </w:rPr>
        <w:t>Wymagania ogólne dotyczące znaków podświetlanych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Znaki podświetlane są wykonywane w formie szczelnej obudowy, z umieszczonym w jej wnętrzu źródłem światła. Lico znaku stanowi transparentna powłoka, na którą naniesiony jest symbol znaku. Przy stosowaniu znaków podświetlanych obowiązują zasady oznaczania i zabezpieczania urządzeń elektrycznych, określone w odpowiednich przepisach i zaleceniach dotyczących urządzeń elektroenergetycznych (oprawy oświetleniowe) np. w PN-EN 60598-2-2:2012 [13]. Znaki podświetlane wykonuje się jako znaki odblaskowe. Znaki podświetlane mogą być wykonane jako </w:t>
      </w:r>
      <w:r w:rsidRPr="007078D3">
        <w:rPr>
          <w:rStyle w:val="spelle"/>
          <w:rFonts w:ascii="Times New Roman" w:hAnsi="Times New Roman" w:cs="Times New Roman"/>
          <w:color w:val="000000"/>
          <w:szCs w:val="20"/>
        </w:rPr>
        <w:t>nieodblaskowe</w:t>
      </w:r>
      <w:r w:rsidRPr="007078D3">
        <w:rPr>
          <w:rFonts w:ascii="Times New Roman" w:hAnsi="Times New Roman" w:cs="Times New Roman"/>
          <w:color w:val="000000"/>
          <w:szCs w:val="20"/>
        </w:rPr>
        <w:t>, ustawiane wyłącznie w obszarze zabudowanym, z ulicznym oświetleniem.</w:t>
      </w:r>
    </w:p>
    <w:p w:rsidR="00E847A6" w:rsidRPr="007078D3" w:rsidRDefault="00E847A6" w:rsidP="00E847A6">
      <w:pPr>
        <w:pStyle w:val="pntekstpodstawowy"/>
        <w:spacing w:before="0" w:beforeAutospacing="0" w:after="0" w:afterAutospacing="0"/>
        <w:jc w:val="both"/>
        <w:rPr>
          <w:color w:val="000000"/>
          <w:sz w:val="20"/>
          <w:szCs w:val="20"/>
        </w:rPr>
      </w:pPr>
      <w:r w:rsidRPr="007078D3">
        <w:rPr>
          <w:rStyle w:val="Pogrubienie"/>
          <w:b w:val="0"/>
          <w:bCs w:val="0"/>
          <w:color w:val="000000"/>
          <w:sz w:val="20"/>
          <w:szCs w:val="20"/>
        </w:rPr>
        <w:t>            Znaki podświetlane charakteryzują następujące parametry:</w:t>
      </w:r>
    </w:p>
    <w:p w:rsidR="00E847A6" w:rsidRPr="007078D3" w:rsidRDefault="00E847A6" w:rsidP="00E847A6">
      <w:pPr>
        <w:pStyle w:val="pntekstpodstawowy"/>
        <w:spacing w:before="0" w:beforeAutospacing="0" w:after="0" w:afterAutospacing="0"/>
        <w:ind w:left="360" w:hanging="360"/>
        <w:jc w:val="both"/>
        <w:rPr>
          <w:color w:val="000000"/>
          <w:sz w:val="20"/>
          <w:szCs w:val="20"/>
        </w:rPr>
      </w:pPr>
      <w:r w:rsidRPr="007078D3">
        <w:rPr>
          <w:rStyle w:val="Pogrubienie"/>
          <w:b w:val="0"/>
          <w:bCs w:val="0"/>
          <w:color w:val="000000"/>
          <w:sz w:val="20"/>
          <w:szCs w:val="20"/>
        </w:rPr>
        <w:t>-          chromatyczność i współczynnik luminancji,</w:t>
      </w:r>
    </w:p>
    <w:p w:rsidR="00E847A6" w:rsidRPr="007078D3" w:rsidRDefault="00E847A6" w:rsidP="00E847A6">
      <w:pPr>
        <w:pStyle w:val="pntekstpodstawowy"/>
        <w:spacing w:before="0" w:beforeAutospacing="0" w:after="0" w:afterAutospacing="0"/>
        <w:ind w:left="360" w:hanging="360"/>
        <w:jc w:val="both"/>
        <w:rPr>
          <w:color w:val="000000"/>
          <w:sz w:val="20"/>
          <w:szCs w:val="20"/>
        </w:rPr>
      </w:pPr>
      <w:r w:rsidRPr="007078D3">
        <w:rPr>
          <w:rStyle w:val="Pogrubienie"/>
          <w:b w:val="0"/>
          <w:bCs w:val="0"/>
          <w:color w:val="000000"/>
          <w:sz w:val="20"/>
          <w:szCs w:val="20"/>
        </w:rPr>
        <w:t>-          średnia luminacja,</w:t>
      </w:r>
    </w:p>
    <w:p w:rsidR="00E847A6" w:rsidRPr="007078D3" w:rsidRDefault="00E847A6" w:rsidP="00E847A6">
      <w:pPr>
        <w:pStyle w:val="pntekstpodstawowy"/>
        <w:spacing w:before="0" w:beforeAutospacing="0" w:after="0" w:afterAutospacing="0"/>
        <w:ind w:left="360" w:hanging="360"/>
        <w:jc w:val="both"/>
        <w:rPr>
          <w:color w:val="000000"/>
          <w:sz w:val="20"/>
          <w:szCs w:val="20"/>
        </w:rPr>
      </w:pPr>
      <w:r w:rsidRPr="007078D3">
        <w:rPr>
          <w:rStyle w:val="Pogrubienie"/>
          <w:b w:val="0"/>
          <w:bCs w:val="0"/>
          <w:color w:val="000000"/>
          <w:sz w:val="20"/>
          <w:szCs w:val="20"/>
        </w:rPr>
        <w:t>-          kontrast luminancji,</w:t>
      </w:r>
    </w:p>
    <w:p w:rsidR="00E847A6" w:rsidRPr="007078D3" w:rsidRDefault="00E847A6" w:rsidP="00E847A6">
      <w:pPr>
        <w:pStyle w:val="pntekstpodstawowy"/>
        <w:spacing w:before="0" w:beforeAutospacing="0" w:after="0" w:afterAutospacing="0"/>
        <w:ind w:left="360" w:hanging="360"/>
        <w:jc w:val="both"/>
        <w:rPr>
          <w:color w:val="000000"/>
          <w:sz w:val="20"/>
          <w:szCs w:val="20"/>
        </w:rPr>
      </w:pPr>
      <w:r w:rsidRPr="007078D3">
        <w:rPr>
          <w:rStyle w:val="Pogrubienie"/>
          <w:b w:val="0"/>
          <w:bCs w:val="0"/>
          <w:color w:val="000000"/>
          <w:sz w:val="20"/>
          <w:szCs w:val="20"/>
        </w:rPr>
        <w:t>-          równomierność luminancji.</w:t>
      </w:r>
    </w:p>
    <w:p w:rsidR="00E847A6" w:rsidRPr="007078D3" w:rsidRDefault="00E847A6" w:rsidP="00E847A6">
      <w:pPr>
        <w:rPr>
          <w:rFonts w:ascii="Times New Roman" w:hAnsi="Times New Roman" w:cs="Times New Roman"/>
          <w:color w:val="000000"/>
          <w:szCs w:val="20"/>
        </w:rPr>
      </w:pPr>
      <w:r w:rsidRPr="007078D3">
        <w:rPr>
          <w:rStyle w:val="Pogrubienie"/>
          <w:rFonts w:ascii="Times New Roman" w:hAnsi="Times New Roman" w:cs="Times New Roman"/>
          <w:b w:val="0"/>
          <w:bCs w:val="0"/>
          <w:color w:val="000000"/>
          <w:szCs w:val="20"/>
        </w:rPr>
        <w:t>            Chromatyczność (współrzędne chromatyczności) oraz współczynnik luminancji </w:t>
      </w:r>
      <w:r w:rsidRPr="007078D3">
        <w:rPr>
          <w:rStyle w:val="Pogrubienie"/>
          <w:rFonts w:ascii="Times New Roman" w:hAnsi="Times New Roman" w:cs="Times New Roman"/>
          <w:b w:val="0"/>
          <w:bCs w:val="0"/>
          <w:i/>
          <w:iCs/>
          <w:color w:val="000000"/>
          <w:szCs w:val="20"/>
        </w:rPr>
        <w:t>β</w:t>
      </w:r>
      <w:r w:rsidRPr="007078D3">
        <w:rPr>
          <w:rStyle w:val="Pogrubienie"/>
          <w:rFonts w:ascii="Times New Roman" w:hAnsi="Times New Roman" w:cs="Times New Roman"/>
          <w:b w:val="0"/>
          <w:bCs w:val="0"/>
          <w:color w:val="000000"/>
          <w:szCs w:val="20"/>
        </w:rPr>
        <w:t> powinny być zgodne z wartościami podanymi w tabeli 18 normy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Badania znaków podświetlanych należy przeprowadzać zgodnie z PN-EN 12899-1:2010 [1]. Wartości średniej luminancji powinny być zgodne z wartościami podanymi w tablicy 7.</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7. Średnia luminancja </w:t>
      </w:r>
      <w:r w:rsidRPr="007078D3">
        <w:rPr>
          <w:rFonts w:ascii="Times New Roman" w:hAnsi="Times New Roman" w:cs="Times New Roman"/>
          <w:i/>
          <w:iCs/>
          <w:color w:val="000000"/>
          <w:szCs w:val="20"/>
        </w:rPr>
        <w:t>L</w:t>
      </w:r>
      <w:r w:rsidRPr="007078D3">
        <w:rPr>
          <w:rFonts w:ascii="Times New Roman" w:hAnsi="Times New Roman" w:cs="Times New Roman"/>
          <w:color w:val="000000"/>
          <w:szCs w:val="20"/>
        </w:rPr>
        <w:t> [</w:t>
      </w:r>
      <w:r w:rsidRPr="007078D3">
        <w:rPr>
          <w:rStyle w:val="spelle"/>
          <w:rFonts w:ascii="Times New Roman" w:hAnsi="Times New Roman" w:cs="Times New Roman"/>
          <w:color w:val="000000"/>
          <w:szCs w:val="20"/>
        </w:rPr>
        <w:t>cd</w:t>
      </w:r>
      <w:r w:rsidRPr="007078D3">
        <w:rPr>
          <w:rFonts w:ascii="Times New Roman" w:hAnsi="Times New Roman" w:cs="Times New Roman"/>
          <w:color w:val="000000"/>
          <w:szCs w:val="20"/>
        </w:rPr>
        <w:t>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znaków podświetlanych</w:t>
      </w:r>
    </w:p>
    <w:tbl>
      <w:tblPr>
        <w:tblW w:w="8892" w:type="dxa"/>
        <w:tblInd w:w="113" w:type="dxa"/>
        <w:shd w:val="clear" w:color="auto" w:fill="EAEAEA"/>
        <w:tblCellMar>
          <w:left w:w="0" w:type="dxa"/>
          <w:right w:w="0" w:type="dxa"/>
        </w:tblCellMar>
        <w:tblLook w:val="04A0"/>
      </w:tblPr>
      <w:tblGrid>
        <w:gridCol w:w="1523"/>
        <w:gridCol w:w="1842"/>
        <w:gridCol w:w="1842"/>
        <w:gridCol w:w="1842"/>
        <w:gridCol w:w="1843"/>
      </w:tblGrid>
      <w:tr w:rsidR="00E847A6" w:rsidRPr="00EF535A" w:rsidTr="007E50B3">
        <w:trPr>
          <w:tblHeader/>
        </w:trPr>
        <w:tc>
          <w:tcPr>
            <w:tcW w:w="1523" w:type="dxa"/>
            <w:tcBorders>
              <w:top w:val="single" w:sz="8" w:space="0" w:color="auto"/>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Barwa</w:t>
            </w:r>
          </w:p>
        </w:tc>
        <w:tc>
          <w:tcPr>
            <w:tcW w:w="1842"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L1</w:t>
            </w:r>
          </w:p>
        </w:tc>
        <w:tc>
          <w:tcPr>
            <w:tcW w:w="1842"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L2</w:t>
            </w:r>
          </w:p>
        </w:tc>
        <w:tc>
          <w:tcPr>
            <w:tcW w:w="1842"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L3</w:t>
            </w:r>
          </w:p>
        </w:tc>
        <w:tc>
          <w:tcPr>
            <w:tcW w:w="1843"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LS</w:t>
            </w:r>
          </w:p>
        </w:tc>
      </w:tr>
      <w:tr w:rsidR="00E847A6" w:rsidRPr="00EF535A" w:rsidTr="007E50B3">
        <w:tc>
          <w:tcPr>
            <w:tcW w:w="1523"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Biała</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150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300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900</w:t>
            </w:r>
          </w:p>
        </w:tc>
        <w:tc>
          <w:tcPr>
            <w:tcW w:w="1843"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40</w:t>
            </w:r>
          </w:p>
        </w:tc>
      </w:tr>
      <w:tr w:rsidR="00E847A6" w:rsidRPr="00EF535A" w:rsidTr="007E50B3">
        <w:tc>
          <w:tcPr>
            <w:tcW w:w="1523"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Żółta</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100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100 ≤ </w:t>
            </w:r>
            <w:r w:rsidRPr="00EF535A">
              <w:rPr>
                <w:rFonts w:ascii="Times New Roman" w:hAnsi="Times New Roman" w:cs="Times New Roman"/>
                <w:i/>
                <w:iCs/>
                <w:sz w:val="18"/>
                <w:szCs w:val="18"/>
              </w:rPr>
              <w:t>L </w:t>
            </w:r>
            <w:r w:rsidRPr="00EF535A">
              <w:rPr>
                <w:rFonts w:ascii="Times New Roman" w:hAnsi="Times New Roman" w:cs="Times New Roman"/>
                <w:sz w:val="18"/>
                <w:szCs w:val="18"/>
              </w:rPr>
              <w:t>&lt; 300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900</w:t>
            </w:r>
          </w:p>
        </w:tc>
        <w:tc>
          <w:tcPr>
            <w:tcW w:w="1843"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7.5 ≤ </w:t>
            </w:r>
            <w:r w:rsidRPr="00EF535A">
              <w:rPr>
                <w:rFonts w:ascii="Times New Roman" w:hAnsi="Times New Roman" w:cs="Times New Roman"/>
                <w:i/>
                <w:iCs/>
                <w:sz w:val="18"/>
                <w:szCs w:val="18"/>
              </w:rPr>
              <w:t>L</w:t>
            </w:r>
            <w:r w:rsidRPr="00EF535A">
              <w:rPr>
                <w:rFonts w:ascii="Times New Roman" w:hAnsi="Times New Roman" w:cs="Times New Roman"/>
                <w:sz w:val="18"/>
                <w:szCs w:val="18"/>
              </w:rPr>
              <w:t>&lt;30</w:t>
            </w:r>
          </w:p>
        </w:tc>
      </w:tr>
      <w:tr w:rsidR="00E847A6" w:rsidRPr="00EF535A" w:rsidTr="007E50B3">
        <w:tc>
          <w:tcPr>
            <w:tcW w:w="1523"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Czerwona</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6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20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50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50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110</w:t>
            </w:r>
          </w:p>
        </w:tc>
        <w:tc>
          <w:tcPr>
            <w:tcW w:w="1843"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6</w:t>
            </w:r>
          </w:p>
        </w:tc>
      </w:tr>
      <w:tr w:rsidR="00E847A6" w:rsidRPr="00EF535A" w:rsidTr="007E50B3">
        <w:tc>
          <w:tcPr>
            <w:tcW w:w="1523"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Niebieska</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10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 ≤ </w:t>
            </w:r>
            <w:r w:rsidRPr="00EF535A">
              <w:rPr>
                <w:rFonts w:ascii="Times New Roman" w:hAnsi="Times New Roman" w:cs="Times New Roman"/>
                <w:i/>
                <w:iCs/>
                <w:sz w:val="18"/>
                <w:szCs w:val="18"/>
              </w:rPr>
              <w:t>L </w:t>
            </w:r>
            <w:r w:rsidRPr="00EF535A">
              <w:rPr>
                <w:rFonts w:ascii="Times New Roman" w:hAnsi="Times New Roman" w:cs="Times New Roman"/>
                <w:sz w:val="18"/>
                <w:szCs w:val="18"/>
              </w:rPr>
              <w:t>&lt; 40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80</w:t>
            </w:r>
          </w:p>
        </w:tc>
        <w:tc>
          <w:tcPr>
            <w:tcW w:w="1843"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4</w:t>
            </w:r>
          </w:p>
        </w:tc>
      </w:tr>
      <w:tr w:rsidR="00E847A6" w:rsidRPr="00EF535A" w:rsidTr="007E50B3">
        <w:tc>
          <w:tcPr>
            <w:tcW w:w="1523"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t>Zielona</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8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20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70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70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180</w:t>
            </w:r>
          </w:p>
        </w:tc>
        <w:tc>
          <w:tcPr>
            <w:tcW w:w="1843"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2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8</w:t>
            </w:r>
          </w:p>
        </w:tc>
      </w:tr>
      <w:tr w:rsidR="00E847A6" w:rsidRPr="00EF535A" w:rsidTr="007E50B3">
        <w:tc>
          <w:tcPr>
            <w:tcW w:w="1523"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rPr>
                <w:rFonts w:ascii="Times New Roman" w:hAnsi="Times New Roman" w:cs="Times New Roman"/>
                <w:sz w:val="18"/>
                <w:szCs w:val="18"/>
              </w:rPr>
            </w:pPr>
            <w:r w:rsidRPr="00EF535A">
              <w:rPr>
                <w:rStyle w:val="spelle"/>
                <w:rFonts w:ascii="Times New Roman" w:hAnsi="Times New Roman" w:cs="Times New Roman"/>
                <w:sz w:val="18"/>
                <w:szCs w:val="18"/>
              </w:rPr>
              <w:t>Ciemnozielo-na</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10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40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80</w:t>
            </w:r>
          </w:p>
        </w:tc>
        <w:tc>
          <w:tcPr>
            <w:tcW w:w="1843"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 ≤</w:t>
            </w:r>
            <w:r w:rsidRPr="00EF535A">
              <w:rPr>
                <w:rFonts w:ascii="Times New Roman" w:hAnsi="Times New Roman" w:cs="Times New Roman"/>
                <w:i/>
                <w:iCs/>
                <w:sz w:val="18"/>
                <w:szCs w:val="18"/>
              </w:rPr>
              <w:t> L</w:t>
            </w:r>
            <w:r w:rsidRPr="00EF535A">
              <w:rPr>
                <w:rFonts w:ascii="Times New Roman" w:hAnsi="Times New Roman" w:cs="Times New Roman"/>
                <w:sz w:val="18"/>
                <w:szCs w:val="18"/>
              </w:rPr>
              <w:t> &lt; 4</w:t>
            </w:r>
          </w:p>
        </w:tc>
      </w:tr>
      <w:tr w:rsidR="00E847A6" w:rsidRPr="00EF535A" w:rsidTr="007E50B3">
        <w:tc>
          <w:tcPr>
            <w:tcW w:w="1523"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rPr>
                <w:rFonts w:ascii="Times New Roman" w:hAnsi="Times New Roman" w:cs="Times New Roman"/>
                <w:sz w:val="18"/>
                <w:szCs w:val="18"/>
              </w:rPr>
            </w:pPr>
            <w:r w:rsidRPr="00EF535A">
              <w:rPr>
                <w:rFonts w:ascii="Times New Roman" w:hAnsi="Times New Roman" w:cs="Times New Roman"/>
                <w:sz w:val="18"/>
                <w:szCs w:val="18"/>
              </w:rPr>
              <w:lastRenderedPageBreak/>
              <w:t>Brązowa</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10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40</w:t>
            </w:r>
          </w:p>
        </w:tc>
        <w:tc>
          <w:tcPr>
            <w:tcW w:w="1842"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80</w:t>
            </w:r>
          </w:p>
        </w:tc>
        <w:tc>
          <w:tcPr>
            <w:tcW w:w="1843"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 ≤ </w:t>
            </w:r>
            <w:r w:rsidRPr="00EF535A">
              <w:rPr>
                <w:rFonts w:ascii="Times New Roman" w:hAnsi="Times New Roman" w:cs="Times New Roman"/>
                <w:i/>
                <w:iCs/>
                <w:sz w:val="18"/>
                <w:szCs w:val="18"/>
              </w:rPr>
              <w:t>L</w:t>
            </w:r>
            <w:r w:rsidRPr="00EF535A">
              <w:rPr>
                <w:rFonts w:ascii="Times New Roman" w:hAnsi="Times New Roman" w:cs="Times New Roman"/>
                <w:sz w:val="18"/>
                <w:szCs w:val="18"/>
              </w:rPr>
              <w:t> &lt; 4</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Klasa LS może być używana jeśli zastosowano materiał elektroluminescencyjny i jest zalecana jedynie wtedy, gdy materiał powierzchni czołowej znaku jest odblaskowy i półprzezroczysty.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Kontrast luminancji znaków podświetlanych „K”, wyznaczony przez stosunek luminancji barwy kontrastowej do luminancji barwy, powinien spełniać wymaganie: 5 ≤ </w:t>
      </w:r>
      <w:r w:rsidRPr="007078D3">
        <w:rPr>
          <w:rFonts w:ascii="Times New Roman" w:hAnsi="Times New Roman" w:cs="Times New Roman"/>
          <w:i/>
          <w:iCs/>
          <w:color w:val="000000"/>
          <w:szCs w:val="20"/>
        </w:rPr>
        <w:t>K</w:t>
      </w:r>
      <w:r w:rsidRPr="007078D3">
        <w:rPr>
          <w:rFonts w:ascii="Times New Roman" w:hAnsi="Times New Roman" w:cs="Times New Roman"/>
          <w:color w:val="000000"/>
          <w:szCs w:val="20"/>
        </w:rPr>
        <w:t> ≤ 15.</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Równomierność luminancji, będąca wynikiem stosunku najniższego poziomu do najwyższego poziomu zmierzonego na dowolnej części barwy tła znaku, powinna być zgodna z wymaganiami tablicy 8. Należy spełnić wymaganie co najmniej klasy U2.</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8. Równomierność luminancji</w:t>
      </w:r>
    </w:p>
    <w:tbl>
      <w:tblPr>
        <w:tblW w:w="0" w:type="auto"/>
        <w:tblInd w:w="113" w:type="dxa"/>
        <w:shd w:val="clear" w:color="auto" w:fill="EAEAEA"/>
        <w:tblCellMar>
          <w:left w:w="0" w:type="dxa"/>
          <w:right w:w="0" w:type="dxa"/>
        </w:tblCellMar>
        <w:tblLook w:val="04A0"/>
      </w:tblPr>
      <w:tblGrid>
        <w:gridCol w:w="1770"/>
        <w:gridCol w:w="2199"/>
      </w:tblGrid>
      <w:tr w:rsidR="00E847A6" w:rsidRPr="00EF535A" w:rsidTr="007E50B3">
        <w:tc>
          <w:tcPr>
            <w:tcW w:w="1770" w:type="dxa"/>
            <w:tcBorders>
              <w:top w:val="single" w:sz="8" w:space="0" w:color="auto"/>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w:t>
            </w:r>
          </w:p>
        </w:tc>
        <w:tc>
          <w:tcPr>
            <w:tcW w:w="2199"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vAlign w:val="cente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Maksymalny stosunek</w:t>
            </w:r>
          </w:p>
        </w:tc>
      </w:tr>
      <w:tr w:rsidR="00E847A6" w:rsidRPr="00EF535A" w:rsidTr="007E50B3">
        <w:tc>
          <w:tcPr>
            <w:tcW w:w="1770"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U1</w:t>
            </w:r>
          </w:p>
        </w:tc>
        <w:tc>
          <w:tcPr>
            <w:tcW w:w="2199"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1/10</w:t>
            </w:r>
          </w:p>
        </w:tc>
      </w:tr>
      <w:tr w:rsidR="00E847A6" w:rsidRPr="00EF535A" w:rsidTr="007E50B3">
        <w:tc>
          <w:tcPr>
            <w:tcW w:w="1770"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U2</w:t>
            </w:r>
          </w:p>
        </w:tc>
        <w:tc>
          <w:tcPr>
            <w:tcW w:w="2199"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1/6</w:t>
            </w:r>
          </w:p>
        </w:tc>
      </w:tr>
      <w:tr w:rsidR="00E847A6" w:rsidRPr="00EF535A" w:rsidTr="007E50B3">
        <w:tc>
          <w:tcPr>
            <w:tcW w:w="1770"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U3</w:t>
            </w:r>
          </w:p>
        </w:tc>
        <w:tc>
          <w:tcPr>
            <w:tcW w:w="2199"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1/3</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Oprawy znaków podświetlanych powinny być skonstruowane tak, aby zapewnić przenoszenie wszystkich stałych i zmiennych sił na mocowania oraz konstrukcje mocujące. Ściany oprawy powinny być skonstruowane tak, aby spełniać wymagania statyczne. Konstrukcja powinna zapewniać, że </w:t>
      </w:r>
      <w:r w:rsidRPr="007078D3">
        <w:rPr>
          <w:rStyle w:val="spelle"/>
          <w:rFonts w:ascii="Times New Roman" w:hAnsi="Times New Roman" w:cs="Times New Roman"/>
          <w:color w:val="000000"/>
          <w:szCs w:val="20"/>
        </w:rPr>
        <w:t>woda</w:t>
      </w:r>
      <w:r w:rsidRPr="007078D3">
        <w:rPr>
          <w:rFonts w:ascii="Times New Roman" w:hAnsi="Times New Roman" w:cs="Times New Roman"/>
          <w:color w:val="000000"/>
          <w:szCs w:val="20"/>
        </w:rPr>
        <w:t> deszczowa nie będzie spływała po oprawie na powierzchnię czołową znaku. Budowa kasetowa znaku podświetlanego powinna zapewniać układom elektrycznym znajdującym się w jej wnętrzu pierwszą ochronę przed czynnikami środowiska zewnętrznego, natomiast stopień ochrony układu elektrycznego ze źródłami światła powinien spełniać parametry określone dla IP65 [14].</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Znak drogowy podświetlany musi mieć umieszczone w sposób trwały oznaczenia przewidziane na naklejce według punktu 5.5 a ponadto oznaczenie oprawy: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a) napięcia znamionowego zasilania, b) rodzaju prądu, c) liczby typu i mocy znamionowej źródeł światła, d) symbolu klasy ochronności elektrycznej oprawy wbudowanej w znak, e) symbolu IP stopnia ochrony odporności na wnikanie wilgoci i ciał obcych.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2.8.2. </w:t>
      </w:r>
      <w:r w:rsidRPr="007078D3">
        <w:rPr>
          <w:rFonts w:ascii="Times New Roman" w:hAnsi="Times New Roman" w:cs="Times New Roman"/>
          <w:color w:val="000000"/>
          <w:szCs w:val="20"/>
        </w:rPr>
        <w:t>Lico znaku podświetlanego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Lico znaku powinno być tak wykonane, aby nie występowały niedokładności w postaci pęcherzy, pęknięć itp. Niedopuszczalne są lokalne nierówności oraz cząstki mechaniczne zatopione w warstwie podświetlanej.</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2.9. Znaki oświetlane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2.9.1. </w:t>
      </w:r>
      <w:r w:rsidRPr="007078D3">
        <w:rPr>
          <w:rFonts w:ascii="Times New Roman" w:hAnsi="Times New Roman" w:cs="Times New Roman"/>
          <w:color w:val="000000"/>
          <w:szCs w:val="20"/>
        </w:rPr>
        <w:t>Wymagania ogólne dotyczące znaków oświetlanych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Znaki oświetlone światłem zewnętrznym są odblaskowymi lub </w:t>
      </w:r>
      <w:r w:rsidRPr="007078D3">
        <w:rPr>
          <w:rStyle w:val="spelle"/>
          <w:rFonts w:ascii="Times New Roman" w:hAnsi="Times New Roman" w:cs="Times New Roman"/>
          <w:color w:val="000000"/>
          <w:szCs w:val="20"/>
        </w:rPr>
        <w:t>nieodblaskowymi</w:t>
      </w:r>
      <w:r w:rsidRPr="007078D3">
        <w:rPr>
          <w:rFonts w:ascii="Times New Roman" w:hAnsi="Times New Roman" w:cs="Times New Roman"/>
          <w:color w:val="000000"/>
          <w:szCs w:val="20"/>
        </w:rPr>
        <w:t> pionowymi znakami drogowymi z dodatkową lampą oświetleniową zamocowaną na konstrukcji wsporczej oświetlającą tarczę znaku w nocy. Przy umieszczaniu na konstrukcji wsporczej znaku drogowego jakichkolwiek urządzeń elektrycznych obowiązują zasady oznaczania i zabezpieczania tych urządzeń, określone w odpowiednich przepisach i zaleceniach dotyczących urządzeń elektroenergetycznych. Zastosowane lampy powinny spełniać wymagania elektryczne PN-EN 60598-2-2:2012 [13] oraz wymagania dotyczące szczelności PN-EN 60529 [14].</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Znaki oświetlane zewnętrznie </w:t>
      </w:r>
      <w:r w:rsidRPr="007078D3">
        <w:rPr>
          <w:rStyle w:val="spelle"/>
          <w:rFonts w:ascii="Times New Roman" w:hAnsi="Times New Roman" w:cs="Times New Roman"/>
          <w:color w:val="000000"/>
          <w:szCs w:val="20"/>
        </w:rPr>
        <w:t>nieodblaskowe</w:t>
      </w:r>
      <w:r w:rsidRPr="007078D3">
        <w:rPr>
          <w:rFonts w:ascii="Times New Roman" w:hAnsi="Times New Roman" w:cs="Times New Roman"/>
          <w:color w:val="000000"/>
          <w:szCs w:val="20"/>
        </w:rPr>
        <w:t> powinny spełniać wymagania znaków podświetlanych.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Znaki oświetlane zewnętrznie odblaskowe charakteryzują następujące parametry:</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chromatyczność i współczynnik luminancji wg tabeli 18 normy [1],</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powierzchniowy współczynnik odblasku wg tabel 3 i 4 normy [1],</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średnie natężenie oświetlenia wg tablicy 8,</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równomierność natężenia oświetlenia wg tablicy 9.</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Badania znaków oświetlanych zewnętrznie należy przeprowadzać zgodnie z PN-EN 12899-1:2010 [1]. Wartości średniego natężenia oświetlenia powinny być zgodne z wartościami podanymi w tablicy 8.</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8. Średnie natężenie oświetlenia </w:t>
      </w:r>
      <w:r w:rsidRPr="007078D3">
        <w:rPr>
          <w:rFonts w:ascii="Times New Roman" w:hAnsi="Times New Roman" w:cs="Times New Roman"/>
          <w:i/>
          <w:iCs/>
          <w:color w:val="000000"/>
          <w:szCs w:val="20"/>
        </w:rPr>
        <w:t>E </w:t>
      </w:r>
      <w:r w:rsidRPr="007078D3">
        <w:rPr>
          <w:rFonts w:ascii="Times New Roman" w:hAnsi="Times New Roman" w:cs="Times New Roman"/>
          <w:color w:val="000000"/>
          <w:szCs w:val="20"/>
        </w:rPr>
        <w:t>(lx)</w:t>
      </w:r>
    </w:p>
    <w:tbl>
      <w:tblPr>
        <w:tblW w:w="8789" w:type="dxa"/>
        <w:tblInd w:w="113" w:type="dxa"/>
        <w:shd w:val="clear" w:color="auto" w:fill="EAEAEA"/>
        <w:tblCellMar>
          <w:left w:w="0" w:type="dxa"/>
          <w:right w:w="0" w:type="dxa"/>
        </w:tblCellMar>
        <w:tblLook w:val="04A0"/>
      </w:tblPr>
      <w:tblGrid>
        <w:gridCol w:w="1560"/>
        <w:gridCol w:w="1701"/>
        <w:gridCol w:w="1701"/>
        <w:gridCol w:w="1984"/>
        <w:gridCol w:w="1843"/>
      </w:tblGrid>
      <w:tr w:rsidR="00E847A6" w:rsidRPr="00EF535A" w:rsidTr="007E50B3">
        <w:tc>
          <w:tcPr>
            <w:tcW w:w="1560" w:type="dxa"/>
            <w:tcBorders>
              <w:top w:val="single" w:sz="8" w:space="0" w:color="auto"/>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E1</w:t>
            </w:r>
          </w:p>
        </w:tc>
        <w:tc>
          <w:tcPr>
            <w:tcW w:w="1701"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E2*</w:t>
            </w:r>
          </w:p>
        </w:tc>
        <w:tc>
          <w:tcPr>
            <w:tcW w:w="1701"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E3</w:t>
            </w:r>
          </w:p>
        </w:tc>
        <w:tc>
          <w:tcPr>
            <w:tcW w:w="1984"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E4</w:t>
            </w:r>
          </w:p>
        </w:tc>
        <w:tc>
          <w:tcPr>
            <w:tcW w:w="1843"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E5</w:t>
            </w:r>
          </w:p>
        </w:tc>
      </w:tr>
      <w:tr w:rsidR="00E847A6" w:rsidRPr="00EF535A" w:rsidTr="007E50B3">
        <w:tc>
          <w:tcPr>
            <w:tcW w:w="1560"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 ≤ E &lt; 100</w:t>
            </w:r>
          </w:p>
        </w:tc>
        <w:tc>
          <w:tcPr>
            <w:tcW w:w="1701"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100 ≤ E &lt; 400</w:t>
            </w:r>
          </w:p>
        </w:tc>
        <w:tc>
          <w:tcPr>
            <w:tcW w:w="1701"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400 ≤ E &lt; 1500</w:t>
            </w:r>
          </w:p>
        </w:tc>
        <w:tc>
          <w:tcPr>
            <w:tcW w:w="1984"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1500 ≤ E &lt; 3000</w:t>
            </w:r>
          </w:p>
        </w:tc>
        <w:tc>
          <w:tcPr>
            <w:tcW w:w="1843"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3000 ≤ E &lt; 9000</w:t>
            </w:r>
          </w:p>
        </w:tc>
      </w:tr>
    </w:tbl>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Klasy E2, E3, E4 oraz E5 są porównywalne odpowiednio do klas L1, L2, L3 oraz L4 znaków podświetlanych.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Równomierność natężenia oświetlenia, określana jest jako stosunek zmierzonej najniższej wartości do najwyższej wartości natężenia oświetlenia w dowolnej części znaku, powinna odpowiadać wartościom podanym w tablicy 9.</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Tablica 9. Równomierność natężenia oświetlenia UE zewnętrznie podświetlanych znaków drogowych</w:t>
      </w:r>
    </w:p>
    <w:tbl>
      <w:tblPr>
        <w:tblW w:w="8844" w:type="dxa"/>
        <w:tblInd w:w="113" w:type="dxa"/>
        <w:shd w:val="clear" w:color="auto" w:fill="EAEAEA"/>
        <w:tblCellMar>
          <w:left w:w="0" w:type="dxa"/>
          <w:right w:w="0" w:type="dxa"/>
        </w:tblCellMar>
        <w:tblLook w:val="04A0"/>
      </w:tblPr>
      <w:tblGrid>
        <w:gridCol w:w="3072"/>
        <w:gridCol w:w="3073"/>
        <w:gridCol w:w="2699"/>
      </w:tblGrid>
      <w:tr w:rsidR="00E847A6" w:rsidRPr="00EF535A" w:rsidTr="007E50B3">
        <w:tc>
          <w:tcPr>
            <w:tcW w:w="3072" w:type="dxa"/>
            <w:tcBorders>
              <w:top w:val="single" w:sz="8" w:space="0" w:color="auto"/>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UE1*</w:t>
            </w:r>
          </w:p>
        </w:tc>
        <w:tc>
          <w:tcPr>
            <w:tcW w:w="3073"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UE2</w:t>
            </w:r>
          </w:p>
        </w:tc>
        <w:tc>
          <w:tcPr>
            <w:tcW w:w="2699" w:type="dxa"/>
            <w:tcBorders>
              <w:top w:val="single" w:sz="8" w:space="0" w:color="auto"/>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Klasa UE3</w:t>
            </w:r>
          </w:p>
        </w:tc>
      </w:tr>
      <w:tr w:rsidR="00E847A6" w:rsidRPr="00EF535A" w:rsidTr="007E50B3">
        <w:tc>
          <w:tcPr>
            <w:tcW w:w="3072" w:type="dxa"/>
            <w:tcBorders>
              <w:top w:val="nil"/>
              <w:left w:val="single" w:sz="8" w:space="0" w:color="auto"/>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UE ≥ 1/10</w:t>
            </w:r>
          </w:p>
        </w:tc>
        <w:tc>
          <w:tcPr>
            <w:tcW w:w="3073"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UE ≥ 1/6</w:t>
            </w:r>
          </w:p>
        </w:tc>
        <w:tc>
          <w:tcPr>
            <w:tcW w:w="2699" w:type="dxa"/>
            <w:tcBorders>
              <w:top w:val="nil"/>
              <w:left w:val="nil"/>
              <w:bottom w:val="single" w:sz="8" w:space="0" w:color="auto"/>
              <w:right w:val="single" w:sz="8" w:space="0" w:color="auto"/>
            </w:tcBorders>
            <w:shd w:val="clear" w:color="auto" w:fill="EAEAEA"/>
            <w:noWrap/>
            <w:tcMar>
              <w:top w:w="55" w:type="dxa"/>
              <w:left w:w="55" w:type="dxa"/>
              <w:bottom w:w="55" w:type="dxa"/>
              <w:right w:w="55" w:type="dxa"/>
            </w:tcMar>
            <w:hideMark/>
          </w:tcPr>
          <w:p w:rsidR="00E847A6" w:rsidRPr="00EF535A" w:rsidRDefault="00E847A6" w:rsidP="007E50B3">
            <w:pPr>
              <w:jc w:val="center"/>
              <w:rPr>
                <w:rFonts w:ascii="Times New Roman" w:hAnsi="Times New Roman" w:cs="Times New Roman"/>
                <w:sz w:val="18"/>
                <w:szCs w:val="18"/>
              </w:rPr>
            </w:pPr>
            <w:r w:rsidRPr="00EF535A">
              <w:rPr>
                <w:rFonts w:ascii="Times New Roman" w:hAnsi="Times New Roman" w:cs="Times New Roman"/>
                <w:sz w:val="18"/>
                <w:szCs w:val="18"/>
              </w:rPr>
              <w:t>UE ≥ 1/3</w:t>
            </w:r>
          </w:p>
        </w:tc>
      </w:tr>
    </w:tbl>
    <w:p w:rsidR="00E847A6" w:rsidRPr="007078D3" w:rsidRDefault="00E847A6" w:rsidP="00E847A6">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Klasy UE1, UE2 oraz UE3 są porównywalne odpowiednio do klas U1, U2 oraz U3 dla znaków podświetlanych.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Tarcze znaków oświetlonych zewnętrznie i znaki drogowe powinny spełniać wymagania podane w tablicy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Oznaczenia na naklejce oprawy muszą spełniać wymagania określone w punkcie 2.8.1.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Zewnętrzne oprawy oświetleniowe powinny być zgodne z PN-EN 60598-1:2015-04 [15]. Minimalnym poziomem zabezpieczenia konstrukcji wsporczych znaków, skrzynek elektrycznych zawierających urządzenia elektryczne, obudów znaków podświetlanych, opraw oświetleniowych i ich obudów przed przenikaniem kurzu i wody, określonym w PN-EN 60529:2003 [14], </w:t>
      </w:r>
      <w:r w:rsidRPr="007078D3">
        <w:rPr>
          <w:rFonts w:ascii="Times New Roman" w:hAnsi="Times New Roman" w:cs="Times New Roman"/>
          <w:color w:val="000000"/>
          <w:szCs w:val="20"/>
        </w:rPr>
        <w:lastRenderedPageBreak/>
        <w:t>powinien być poziom 2 dla cząstek stałych i poziom 3 dla wody. Podstawą do określenia tych poziomów minimalnych powinien być poziom IP podany w wymaganiach </w:t>
      </w:r>
      <w:r w:rsidRPr="007078D3">
        <w:rPr>
          <w:rStyle w:val="spelle"/>
          <w:rFonts w:ascii="Times New Roman" w:hAnsi="Times New Roman" w:cs="Times New Roman"/>
          <w:color w:val="000000"/>
          <w:szCs w:val="20"/>
        </w:rPr>
        <w:t>klienta</w:t>
      </w:r>
      <w:r w:rsidRPr="007078D3">
        <w:rPr>
          <w:rFonts w:ascii="Times New Roman" w:hAnsi="Times New Roman" w:cs="Times New Roman"/>
          <w:color w:val="000000"/>
          <w:szCs w:val="20"/>
        </w:rPr>
        <w:t> lub nabywcy. Zaleca się, aby oprawa była zbudowana jako zamknięta, o stopniu ochrony IP-65 dla komory lampowej i co najmniej IP-23 dla komory statecznika wg [14].</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Projekt strukturalny powinien zawierać całą konstrukcję obejmującą obudowę, słupek i zamocowania. Lampy powinny być zabezpieczone obudową osłaniającą od deszczu, wiatru i innych niesprzyjających warunków zewnętrznych. Obudowy lamp i panele oświetleniowe powinny być zgodne z PN-EN 12899-1:2010 [1].</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Oprawa oświetleniowa powinna spełniać ponadto następujące wymagania :</w:t>
      </w:r>
    </w:p>
    <w:p w:rsidR="00E847A6" w:rsidRPr="007078D3" w:rsidRDefault="00E847A6" w:rsidP="00E847A6">
      <w:pPr>
        <w:ind w:left="405" w:hanging="360"/>
        <w:rPr>
          <w:rFonts w:ascii="Times New Roman" w:hAnsi="Times New Roman" w:cs="Times New Roman"/>
          <w:color w:val="000000"/>
          <w:szCs w:val="20"/>
        </w:rPr>
      </w:pPr>
      <w:r w:rsidRPr="007078D3">
        <w:rPr>
          <w:rFonts w:ascii="Times New Roman" w:hAnsi="Times New Roman" w:cs="Times New Roman"/>
          <w:color w:val="000000"/>
          <w:szCs w:val="20"/>
        </w:rPr>
        <w:t>-          dla opraw zawieszanych na wysokości poniżej 2,5 m klosz oprawy powinien być wykonany z materiałów odpornych na uszkodzenia mechaniczne,</w:t>
      </w:r>
    </w:p>
    <w:p w:rsidR="00E847A6" w:rsidRPr="007078D3" w:rsidRDefault="00E847A6" w:rsidP="00E847A6">
      <w:pPr>
        <w:ind w:left="405" w:hanging="360"/>
        <w:rPr>
          <w:rFonts w:ascii="Times New Roman" w:hAnsi="Times New Roman" w:cs="Times New Roman"/>
          <w:color w:val="000000"/>
          <w:szCs w:val="20"/>
        </w:rPr>
      </w:pPr>
      <w:r w:rsidRPr="007078D3">
        <w:rPr>
          <w:rFonts w:ascii="Times New Roman" w:hAnsi="Times New Roman" w:cs="Times New Roman"/>
          <w:color w:val="000000"/>
          <w:szCs w:val="20"/>
        </w:rPr>
        <w:t>-          w oznaczeniu oprawy musi być podany rok produkcji.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Oprawa oświetleniowa stanowiąca integralną część znaku oświetlanego umieszczana jest przed licem znaku i musi być sztywno i trwale związana z tarczą znaku. Zaleca się, aby oprawy były montowane tak, żeby nie zasłaniały kierowcom lica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2.9.2. </w:t>
      </w:r>
      <w:r w:rsidRPr="007078D3">
        <w:rPr>
          <w:rFonts w:ascii="Times New Roman" w:hAnsi="Times New Roman" w:cs="Times New Roman"/>
          <w:color w:val="000000"/>
          <w:szCs w:val="20"/>
        </w:rPr>
        <w:t>Lico znaku oświetlonego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Wymagania dotyczące lica znaku oświetlanego ustala się jak dla znaku podświetlanego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2.8.1).</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2.10. Aktywne pionowe znaki drogowe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Aktywne znaki drogowe pionowe mogą występować w grupie wielkości znaków: D, S i M określonych w odrębnych przepisach [19]. W Zaleceniach I-80 IBDiM [28] ograniczono zakres stosowania znaków aktywnych do: A-30, B-20, B-33, C-9, C-10, T-18 oraz do tablic i słupków U-3, U-5c, U-6a, U-6b, U-9a, U-9b i U-9c.</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Aktywny znak drogowy składa się z lica, tarczy z umieszczonymi pulsującymi punktowymi źródłami światła, uchwytu montażowego, konstrukcji wsporczej oraz oddzielnego układu elektrycznego sterującego znakiem.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Układ elektryczny</w:t>
      </w: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składa się z modułu zasilania oraz układu elektronicznego zapewniającego prawidłowe wysterowanie źródeł światła. Moduł zasilania jest układem, który może być zrealizowany dla dwóch sposobów zasilania. W przypadku zasilania z sieci moduł ten powinien być zbudowany z układu zamieniającego zasilanie prądem przemiennym na zasilanie prądem stałym oraz układów zapewniających czynną i bierną ochronę przed porażeniem prądowym zgodnie z </w:t>
      </w:r>
      <w:r w:rsidRPr="007078D3">
        <w:rPr>
          <w:rStyle w:val="spelle"/>
          <w:rFonts w:ascii="Times New Roman" w:hAnsi="Times New Roman" w:cs="Times New Roman"/>
          <w:color w:val="000000"/>
          <w:szCs w:val="20"/>
        </w:rPr>
        <w:t>PN-HD</w:t>
      </w:r>
      <w:r w:rsidRPr="007078D3">
        <w:rPr>
          <w:rFonts w:ascii="Times New Roman" w:hAnsi="Times New Roman" w:cs="Times New Roman"/>
          <w:color w:val="000000"/>
          <w:szCs w:val="20"/>
        </w:rPr>
        <w:t> 60364-1 [16]. Natomiast zasilanie ze źródeł alternatywnych powinno umożliwiać prawidłowe gromadzenie energii wytworzonej przez dane źródła, przy pomocy odpowiednich urządzeń regulujących proces ładowania i rozładowywania akumulatorów. Jako bufor energii należy stosować akumulatory specjalnie do tego przeznaczone, charakteryzujące się m.in. odpowiednią charakterystyką procesu ładowania. Układ zasilania alternatywnego powinien zabezpieczać bilans mocy. Układ sterujący odpowiedzialny jest również za regulację natężenia strumienia świetlnego punktowych źródeł światła w zależności od otaczających warunków oświetleniowych.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Warunki stosowania aktywnych znaków drogowych są takie same jak dla pionowych stałych odblaskowych znaków drogowych oraz urządzeń bezpieczeństwa ruchu drogowego, które zostały określone w Załącznikach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 i 4 do rozporządzenia Ministra Infrastruktury [19].</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Wymagania dotyczące aktywnych pionowych znaków drogowych w stosunku do lica i konstrukcji wsporczej są identyczne jak dla znaków stałych. Dodatkowa wymagania odnoszą się do modułu zasilania zapewniającego nieprzerwaną dostawę energii elektrycznej.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Wszystkie aktywne znaki drogowe powinny być zasilane napięciem bezpiecznym tj. :</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dla prądu przemiennego nie większym niż 25 V,</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dla prądu stałego nie większym niż 60 V.</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Alternatywnym źródłem prądu mogą być :</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wymienne baterie akumulatorów,</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panele fotowoltaiczne,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generatory / turbiny wiatrowe,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układy hybrydowe (połączenie generatorów/turbin wiatrowych i paneli fotowoltaicznych).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Możliwe jest łączenie alternatywnych źródeł prądu tworząc w ten sposób układy hybrydowe (np. połączenie turbiny wiatrowej i </w:t>
      </w:r>
      <w:r w:rsidRPr="007078D3">
        <w:rPr>
          <w:rStyle w:val="spelle"/>
          <w:rFonts w:ascii="Times New Roman" w:hAnsi="Times New Roman" w:cs="Times New Roman"/>
          <w:color w:val="000000"/>
          <w:szCs w:val="20"/>
        </w:rPr>
        <w:t>panela</w:t>
      </w:r>
      <w:r w:rsidRPr="007078D3">
        <w:rPr>
          <w:rFonts w:ascii="Times New Roman" w:hAnsi="Times New Roman" w:cs="Times New Roman"/>
          <w:color w:val="000000"/>
          <w:szCs w:val="20"/>
        </w:rPr>
        <w:t> fotowoltaicznego.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Układ elektroniczny powinien mieć możliwość regulacji częstotliwości pulsowania znaku od 0,25 Hz do 1Hz. Czas świecenia diod powinien zawierać się w przedziale od 25% do 50%.</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Punktowym źródłem światła może być dioda świecąca (LED) lub inny emiter światła barwy białej, żółtej lub czerwonej o średnicy nie większej niż 6 </w:t>
      </w:r>
      <w:r w:rsidRPr="007078D3">
        <w:rPr>
          <w:rStyle w:val="spelle"/>
          <w:rFonts w:ascii="Times New Roman" w:hAnsi="Times New Roman" w:cs="Times New Roman"/>
          <w:color w:val="000000"/>
          <w:szCs w:val="20"/>
        </w:rPr>
        <w:t>mm</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W skład źródła światła mogą wchodzić układy optyczne poprawiające jego parametry lub inne elementy chroniące to źródło przed uszkodzeniem lub pogorszeniem parametrów świetlnych m.in. poprzez osadzanie się nieczystości pochodzących ze środowiska, w którym umieszczony jest znak drogowy.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Wiązka światła emitowana powinna być tak ukierunkowana, aby jej strumień był skierowany w kierunku nadjeżdżającego pojazdu.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Punktowe źródło światła powinno charakteryzować się:</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poziomym kątem rozsyłu strumienia świetlnego: od 10</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 do 30</w:t>
      </w:r>
      <w:r w:rsidRPr="007078D3">
        <w:rPr>
          <w:rFonts w:ascii="Times New Roman" w:hAnsi="Times New Roman" w:cs="Times New Roman"/>
          <w:color w:val="000000"/>
          <w:szCs w:val="20"/>
          <w:vertAlign w:val="superscript"/>
        </w:rPr>
        <w:t>o</w:t>
      </w:r>
      <w:r w:rsidRPr="007078D3">
        <w:rPr>
          <w:rFonts w:ascii="Times New Roman" w:hAnsi="Times New Roman" w:cs="Times New Roman"/>
          <w:b/>
          <w:bCs/>
          <w:color w:val="000000"/>
          <w:szCs w:val="20"/>
        </w:rPr>
        <w:t> ,</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światłością: powyżej 2000 mcd i nie większą niż 8000 mcd,</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określoną długością fali wysyłanego światła:</w:t>
      </w:r>
    </w:p>
    <w:p w:rsidR="00E847A6" w:rsidRPr="007078D3" w:rsidRDefault="00E847A6" w:rsidP="00E847A6">
      <w:pPr>
        <w:ind w:left="709"/>
        <w:rPr>
          <w:rFonts w:ascii="Times New Roman" w:hAnsi="Times New Roman" w:cs="Times New Roman"/>
          <w:color w:val="000000"/>
          <w:szCs w:val="20"/>
        </w:rPr>
      </w:pPr>
      <w:r w:rsidRPr="007078D3">
        <w:rPr>
          <w:rFonts w:ascii="Times New Roman" w:hAnsi="Times New Roman" w:cs="Times New Roman"/>
          <w:color w:val="000000"/>
          <w:szCs w:val="20"/>
        </w:rPr>
        <w:t>barwa żółta – (590 ± 5) </w:t>
      </w:r>
      <w:r w:rsidRPr="007078D3">
        <w:rPr>
          <w:rStyle w:val="spelle"/>
          <w:rFonts w:ascii="Times New Roman" w:hAnsi="Times New Roman" w:cs="Times New Roman"/>
          <w:color w:val="000000"/>
          <w:szCs w:val="20"/>
        </w:rPr>
        <w:t>nm</w:t>
      </w:r>
      <w:r w:rsidRPr="007078D3">
        <w:rPr>
          <w:rFonts w:ascii="Times New Roman" w:hAnsi="Times New Roman" w:cs="Times New Roman"/>
          <w:color w:val="000000"/>
          <w:szCs w:val="20"/>
        </w:rPr>
        <w:t>,</w:t>
      </w:r>
    </w:p>
    <w:p w:rsidR="00E847A6" w:rsidRPr="007078D3" w:rsidRDefault="00E847A6" w:rsidP="00E847A6">
      <w:pPr>
        <w:ind w:left="709"/>
        <w:rPr>
          <w:rFonts w:ascii="Times New Roman" w:hAnsi="Times New Roman" w:cs="Times New Roman"/>
          <w:color w:val="000000"/>
          <w:szCs w:val="20"/>
        </w:rPr>
      </w:pPr>
      <w:r w:rsidRPr="007078D3">
        <w:rPr>
          <w:rFonts w:ascii="Times New Roman" w:hAnsi="Times New Roman" w:cs="Times New Roman"/>
          <w:color w:val="000000"/>
          <w:szCs w:val="20"/>
        </w:rPr>
        <w:t>barwa czerwona (625 ± 5) </w:t>
      </w:r>
      <w:r w:rsidRPr="007078D3">
        <w:rPr>
          <w:rStyle w:val="spelle"/>
          <w:rFonts w:ascii="Times New Roman" w:hAnsi="Times New Roman" w:cs="Times New Roman"/>
          <w:color w:val="000000"/>
          <w:szCs w:val="20"/>
        </w:rPr>
        <w:t>nm</w:t>
      </w:r>
      <w:r w:rsidRPr="007078D3">
        <w:rPr>
          <w:rFonts w:ascii="Times New Roman" w:hAnsi="Times New Roman" w:cs="Times New Roman"/>
          <w:color w:val="000000"/>
          <w:szCs w:val="20"/>
        </w:rPr>
        <w:t>,</w:t>
      </w:r>
    </w:p>
    <w:p w:rsidR="00E847A6" w:rsidRPr="007078D3" w:rsidRDefault="00E847A6" w:rsidP="00E847A6">
      <w:pPr>
        <w:ind w:left="709"/>
        <w:rPr>
          <w:rFonts w:ascii="Times New Roman" w:hAnsi="Times New Roman" w:cs="Times New Roman"/>
          <w:color w:val="000000"/>
          <w:szCs w:val="20"/>
        </w:rPr>
      </w:pPr>
      <w:r w:rsidRPr="007078D3">
        <w:rPr>
          <w:rFonts w:ascii="Times New Roman" w:hAnsi="Times New Roman" w:cs="Times New Roman"/>
          <w:color w:val="000000"/>
          <w:szCs w:val="20"/>
        </w:rPr>
        <w:t>barwa biała – rozkład zbliżony do V(λ).</w:t>
      </w:r>
    </w:p>
    <w:p w:rsidR="00E847A6" w:rsidRPr="007078D3" w:rsidRDefault="00E847A6" w:rsidP="00E847A6">
      <w:pPr>
        <w:ind w:left="709"/>
        <w:rPr>
          <w:rFonts w:ascii="Times New Roman" w:hAnsi="Times New Roman" w:cs="Times New Roman"/>
          <w:color w:val="000000"/>
          <w:szCs w:val="20"/>
        </w:rPr>
      </w:pPr>
      <w:r w:rsidRPr="007078D3">
        <w:rPr>
          <w:rFonts w:ascii="Times New Roman" w:hAnsi="Times New Roman" w:cs="Times New Roman"/>
          <w:color w:val="000000"/>
          <w:szCs w:val="20"/>
        </w:rPr>
        <w:lastRenderedPageBreak/>
        <w:t>Znak powinien charakteryzować się:</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sterowaniem prądowym: prąd nie większy niż 50% prądu znamionowego,</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światłością znaku od 200 </w:t>
      </w:r>
      <w:r w:rsidRPr="007078D3">
        <w:rPr>
          <w:rStyle w:val="spelle"/>
          <w:rFonts w:ascii="Times New Roman" w:hAnsi="Times New Roman" w:cs="Times New Roman"/>
          <w:color w:val="000000"/>
          <w:szCs w:val="20"/>
        </w:rPr>
        <w:t>cd</w:t>
      </w:r>
      <w:r w:rsidRPr="007078D3">
        <w:rPr>
          <w:rFonts w:ascii="Times New Roman" w:hAnsi="Times New Roman" w:cs="Times New Roman"/>
          <w:color w:val="000000"/>
          <w:szCs w:val="20"/>
        </w:rPr>
        <w:t> do 1000 </w:t>
      </w:r>
      <w:r w:rsidRPr="007078D3">
        <w:rPr>
          <w:rStyle w:val="spelle"/>
          <w:rFonts w:ascii="Times New Roman" w:hAnsi="Times New Roman" w:cs="Times New Roman"/>
          <w:color w:val="000000"/>
          <w:szCs w:val="20"/>
        </w:rPr>
        <w:t>cd</w:t>
      </w:r>
      <w:r w:rsidRPr="007078D3">
        <w:rPr>
          <w:rFonts w:ascii="Times New Roman" w:hAnsi="Times New Roman" w:cs="Times New Roman"/>
          <w:color w:val="000000"/>
          <w:szCs w:val="20"/>
        </w:rPr>
        <w:t> [28].</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2.11. Materiały do montażu znaków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Wszystkie uchwyty montażowe (np. uchwyty uniwersalne, obejmy do mocowania za krawędź) przewidywane do mocowania między sobą elementów konstrukcji wsporczych znaków także śruby, listwy, nakrętki itp. powinny być ocynkowane ogniowo lub wykonane z materiałów odpornych na korozję w czasie nie krótszym niż tarcza znaku i konstrukcja wsporcza. Dopuszcza się także stosowanie certyfikowanych uchwytów plastikowych i taśm montażowych wykonanych ze stali nierdzewnych.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 przypadku stosowania uchwytu uniwersalnego należy wyposażyć się w dodatkowe podkładki w kształcie miseczki, utrudniające demontaż znaku przez osoby niepowołane oraz specjalny klucz służący do przykręcania lub odkręcania nakrętek. Uchwyt uniwersalny umożliwia montaż na słupkach o średnicy od 50 cm do 76 </w:t>
      </w:r>
      <w:r w:rsidRPr="007078D3">
        <w:rPr>
          <w:rStyle w:val="spelle"/>
          <w:rFonts w:ascii="Times New Roman" w:hAnsi="Times New Roman" w:cs="Times New Roman"/>
          <w:color w:val="000000"/>
          <w:szCs w:val="20"/>
        </w:rPr>
        <w:t>cm</w:t>
      </w:r>
      <w:r w:rsidRPr="007078D3">
        <w:rPr>
          <w:rFonts w:ascii="Times New Roman" w:hAnsi="Times New Roman" w:cs="Times New Roman"/>
          <w:color w:val="000000"/>
          <w:szCs w:val="20"/>
        </w:rPr>
        <w:t>. Jest on przykręcany śrubami do profilu montażowego umieszczonego na rewersie tarczy lub do zagiętej krawędzi znaku z otworami. Uchwyt stalowy mocujący za krawędź znaku dzięki dodatkowej stalowej belce umożliwia montaż bez konieczności robienia otworu w krawędzi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System mocowania przy użyciu taśmy stalowej np. </w:t>
      </w:r>
      <w:r w:rsidRPr="007078D3">
        <w:rPr>
          <w:rStyle w:val="spelle"/>
          <w:rFonts w:ascii="Times New Roman" w:hAnsi="Times New Roman" w:cs="Times New Roman"/>
          <w:color w:val="000000"/>
          <w:szCs w:val="20"/>
        </w:rPr>
        <w:t>Bandimex</w:t>
      </w:r>
      <w:r w:rsidRPr="007078D3">
        <w:rPr>
          <w:rFonts w:ascii="Times New Roman" w:hAnsi="Times New Roman" w:cs="Times New Roman"/>
          <w:color w:val="000000"/>
          <w:szCs w:val="20"/>
        </w:rPr>
        <w:t>, umożliwia mocowanie znaków na słupkach o dowolnej średnicy i konstrukcjach różnych rozmiarów z zastosowaniem przyrządu do napinania taśmy i zapinki łączącej końce taśmy.</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2.12. Przechowywanie i składowanie materiałów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Prefabrykaty betonowe powinny być składowane na wyrównanym, utwardzonym i odwodnionym podłożu. Prefabrykaty należy układać na podkładach z zachowaniem prześwitu minimum 10 cm między podłożem a prefabrykatem.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Znaki powinny być przechowywane na regałach w pomieszczeniach suchych, z dala od materiałów działających korodująco i w warunkach zabezpieczających przed uszkodzeniami.</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20" w:name="_Toc505581986"/>
      <w:r w:rsidRPr="007078D3">
        <w:rPr>
          <w:rFonts w:ascii="Times New Roman" w:hAnsi="Times New Roman"/>
          <w:caps/>
          <w:color w:val="000000"/>
          <w:szCs w:val="20"/>
        </w:rPr>
        <w:t>3. SPRZĘT</w:t>
      </w:r>
      <w:bookmarkEnd w:id="1320"/>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3.1. Ogólne wymagania dotyczące sprzętu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sprzętu podano w </w:t>
      </w:r>
      <w:r>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3.</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3.2. Sprzęt do wykonania oznakowania pionowego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Wykonawca przystępujący do wykonania oznakowania pionowego powinien wykazać się możliwością korzystania z następującego sprzętu:</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wiertnicy do wykonywania dołów pod słupki w gruncie spoistym,</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młota pneumatycznego,</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betoniarek przewoźnych do wykonywania fundamentów betonowych „na mokro”,</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środków transportowych do przewozu materiałów,</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przewoźnych zbiorników na wodę,</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sprzętu spawalniczego, itp.</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sprzętu pomocniczego, jak np. drabiny, łopaty, poziomnice,</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zagęszczarki do gruntu,</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urządzeń bezpieczeństwa ruchu do oznakowania i zabezpieczenia robót,</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niwelatora, jeśli jest potrzebny,</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sprzętu dodatkowego zaleconego przez ST.</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W przypadku wykonywania znaków </w:t>
      </w:r>
      <w:r w:rsidRPr="007078D3">
        <w:rPr>
          <w:rStyle w:val="spelle"/>
          <w:rFonts w:ascii="Times New Roman" w:hAnsi="Times New Roman" w:cs="Times New Roman"/>
          <w:color w:val="000000"/>
          <w:szCs w:val="20"/>
        </w:rPr>
        <w:t>wielkopowierzchniowych</w:t>
      </w:r>
      <w:r w:rsidRPr="007078D3">
        <w:rPr>
          <w:rFonts w:ascii="Times New Roman" w:hAnsi="Times New Roman" w:cs="Times New Roman"/>
          <w:color w:val="000000"/>
          <w:szCs w:val="20"/>
        </w:rPr>
        <w:t> Wykonawca powinien dysponować:</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koparką kołową, np. 0,15 m</w:t>
      </w:r>
      <w:r w:rsidRPr="007078D3">
        <w:rPr>
          <w:rFonts w:ascii="Times New Roman" w:hAnsi="Times New Roman" w:cs="Times New Roman"/>
          <w:color w:val="000000"/>
          <w:szCs w:val="20"/>
          <w:vertAlign w:val="superscript"/>
        </w:rPr>
        <w:t>3</w:t>
      </w:r>
      <w:r w:rsidRPr="007078D3">
        <w:rPr>
          <w:rFonts w:ascii="Times New Roman" w:hAnsi="Times New Roman" w:cs="Times New Roman"/>
          <w:color w:val="000000"/>
          <w:szCs w:val="20"/>
        </w:rPr>
        <w:t> lub koparką gąsienicową, np. 0,25 m</w:t>
      </w:r>
      <w:r w:rsidRPr="007078D3">
        <w:rPr>
          <w:rFonts w:ascii="Times New Roman" w:hAnsi="Times New Roman" w:cs="Times New Roman"/>
          <w:color w:val="000000"/>
          <w:szCs w:val="20"/>
          <w:vertAlign w:val="superscript"/>
        </w:rPr>
        <w:t>3 </w:t>
      </w:r>
      <w:r w:rsidRPr="007078D3">
        <w:rPr>
          <w:rFonts w:ascii="Times New Roman" w:hAnsi="Times New Roman" w:cs="Times New Roman"/>
          <w:color w:val="000000"/>
          <w:szCs w:val="20"/>
        </w:rPr>
        <w:t>,</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podnośnikiem montażowym samochodowym.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Wykonawca musi wskazać osoby, które będą uczestniczyć w wykonywaniu zamówienia, legitymujące się kwalifikacjami zawodowymi, doświadczeniem odpowiednim do funkcji jakie im zostaną powierzone: zgodnie z zapisami Rozdziału 2 ustawy Prawo budowlane [29].</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21" w:name="_Toc505581987"/>
      <w:r w:rsidRPr="007078D3">
        <w:rPr>
          <w:rFonts w:ascii="Times New Roman" w:hAnsi="Times New Roman"/>
          <w:caps/>
          <w:color w:val="000000"/>
          <w:szCs w:val="20"/>
        </w:rPr>
        <w:t>4. TRANSPORT</w:t>
      </w:r>
      <w:bookmarkEnd w:id="1321"/>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4.1. Ogólne wymagania dotyczące transportu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transportu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4.</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4.2. Transport znaków do pionowego oznakowania </w:t>
      </w:r>
      <w:r w:rsidRPr="007078D3">
        <w:rPr>
          <w:rStyle w:val="spelle"/>
          <w:rFonts w:ascii="Times New Roman" w:eastAsiaTheme="majorEastAsia" w:hAnsi="Times New Roman"/>
          <w:color w:val="000000"/>
          <w:szCs w:val="20"/>
        </w:rPr>
        <w:t>dróg</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Zestawy znaków drogowych i poszczególne ich części należy na okres transportu odpowiednio zabezpieczyć, chroniąc przed uszkodzeniem mechanicznym, tak aby nie ulegały przemieszczaniu i w sposób nie uszkodzony dotarły do odbiorcy. Szczególnie starannie należy zabezpieczyć powierzchnie lic tarcz znaków przed uszkodzeniem.</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22" w:name="_Toc505581988"/>
      <w:r w:rsidRPr="007078D3">
        <w:rPr>
          <w:rFonts w:ascii="Times New Roman" w:hAnsi="Times New Roman"/>
          <w:caps/>
          <w:color w:val="000000"/>
          <w:szCs w:val="20"/>
        </w:rPr>
        <w:t>5. WYKONANIE ROBÓT</w:t>
      </w:r>
      <w:bookmarkEnd w:id="1322"/>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5.1. Ogólne zasady wykonania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wykonania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5.</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5.2. Roboty przygotowawcze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Przed przystąpieniem do robót po przejęciu placu budowy należy:</w:t>
      </w:r>
    </w:p>
    <w:p w:rsidR="00E847A6" w:rsidRPr="007078D3" w:rsidRDefault="00E847A6" w:rsidP="00E847A6">
      <w:pPr>
        <w:ind w:left="405" w:hanging="360"/>
        <w:rPr>
          <w:rFonts w:ascii="Times New Roman" w:hAnsi="Times New Roman" w:cs="Times New Roman"/>
          <w:color w:val="000000"/>
          <w:szCs w:val="20"/>
        </w:rPr>
      </w:pPr>
      <w:r w:rsidRPr="007078D3">
        <w:rPr>
          <w:rFonts w:ascii="Times New Roman" w:hAnsi="Times New Roman" w:cs="Times New Roman"/>
          <w:color w:val="000000"/>
          <w:szCs w:val="20"/>
        </w:rPr>
        <w:t>-          wyznaczyć lokalizację znaku, tj. jego </w:t>
      </w:r>
      <w:r w:rsidRPr="007078D3">
        <w:rPr>
          <w:rStyle w:val="spelle"/>
          <w:rFonts w:ascii="Times New Roman" w:hAnsi="Times New Roman" w:cs="Times New Roman"/>
          <w:color w:val="000000"/>
          <w:szCs w:val="20"/>
        </w:rPr>
        <w:t>pikietaż</w:t>
      </w:r>
      <w:r w:rsidRPr="007078D3">
        <w:rPr>
          <w:rFonts w:ascii="Times New Roman" w:hAnsi="Times New Roman" w:cs="Times New Roman"/>
          <w:color w:val="000000"/>
          <w:szCs w:val="20"/>
        </w:rPr>
        <w:t> oraz odległość od krawędzi jezdni, krawędzi pobocza umocnionego lub pasa awaryjnego postoju,</w:t>
      </w:r>
    </w:p>
    <w:p w:rsidR="00E847A6" w:rsidRPr="007078D3" w:rsidRDefault="00E847A6" w:rsidP="00E847A6">
      <w:pPr>
        <w:ind w:left="405" w:hanging="360"/>
        <w:rPr>
          <w:rFonts w:ascii="Times New Roman" w:hAnsi="Times New Roman" w:cs="Times New Roman"/>
          <w:color w:val="000000"/>
          <w:szCs w:val="20"/>
        </w:rPr>
      </w:pPr>
      <w:r w:rsidRPr="007078D3">
        <w:rPr>
          <w:rFonts w:ascii="Times New Roman" w:hAnsi="Times New Roman" w:cs="Times New Roman"/>
          <w:color w:val="000000"/>
          <w:szCs w:val="20"/>
        </w:rPr>
        <w:t>-          miejsce wykonywania prac oznakować zgodnie z projektem organizacji ruchu, w celu zabezpieczenia pracowników i kierujących pojazdami na drodze.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Punkty stabilizujące miejsca ustawienia znaków należy zabezpieczyć w taki sposób, aby w czasie trwania i odbioru robót istniała możliwość sprawdzenia lokalizacji znaków.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Lokalizacja i wysokość zamocowania tarczy znaku powinny być zgodne z dokumentacją projektową.</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lastRenderedPageBreak/>
        <w:t>5.3. Wykonanie wykopów i fundamentów dla konstrukcji wsporczych znaków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5.3.1.</w:t>
      </w:r>
      <w:r w:rsidRPr="007078D3">
        <w:rPr>
          <w:rFonts w:ascii="Times New Roman" w:hAnsi="Times New Roman" w:cs="Times New Roman"/>
          <w:color w:val="000000"/>
          <w:szCs w:val="20"/>
        </w:rPr>
        <w:t> Wykopy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Sposób wykonania wykopu pod fundament znaku pionowego powinien być dostosowany do głębokości wykopu, rodzaju gruntu i posiadanego sprzętu. Wymiary wykopu powinny być zgodne z dokumentacją projektową lub wskazaniami Inżyniera.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Wykopy fundamentowe powinny być wykonane w takim okresie, aby po ich zakończeniu można było przystąpić natychmiast do wykonania w nich robót fundamentowych.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5.3.2. </w:t>
      </w:r>
      <w:r w:rsidRPr="007078D3">
        <w:rPr>
          <w:rFonts w:ascii="Times New Roman" w:hAnsi="Times New Roman" w:cs="Times New Roman"/>
          <w:color w:val="000000"/>
          <w:szCs w:val="20"/>
        </w:rPr>
        <w:t>Wykonanie fundamentów</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5.3.2.1. Prefabrykaty betonowe: dno wykopu przed ułożeniem prefabrykatu należy wyrównać i zagęścić. Wolne przestrzenie między ścianami gruntu i prefabrykatem należy wypełnić materiałem kamiennym, np. klińcem i dokładnie zagęścić ubijakami ręcznymi.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Jeżeli znak jest zlokalizowany na poboczu drogi, to górna powierzchnia prefabrykatu powinna być równa z powierzchnią pobocza lub być wyniesiona </w:t>
      </w:r>
      <w:r w:rsidRPr="007078D3">
        <w:rPr>
          <w:rStyle w:val="spelle"/>
          <w:rFonts w:ascii="Times New Roman" w:hAnsi="Times New Roman" w:cs="Times New Roman"/>
          <w:color w:val="000000"/>
          <w:szCs w:val="20"/>
        </w:rPr>
        <w:t>nad</w:t>
      </w:r>
      <w:r w:rsidRPr="007078D3">
        <w:rPr>
          <w:rFonts w:ascii="Times New Roman" w:hAnsi="Times New Roman" w:cs="Times New Roman"/>
          <w:color w:val="000000"/>
          <w:szCs w:val="20"/>
        </w:rPr>
        <w:t> tę powierzchnię nie więcej niż 0,03 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5.3.2.2. Fundamenty z betonu i betonu zbrojonego: wykopy pod fundamenty konstrukcji wsporczych dla zamocowania znaków </w:t>
      </w:r>
      <w:r w:rsidRPr="007078D3">
        <w:rPr>
          <w:rStyle w:val="spelle"/>
          <w:rFonts w:ascii="Times New Roman" w:hAnsi="Times New Roman" w:cs="Times New Roman"/>
          <w:color w:val="000000"/>
          <w:szCs w:val="20"/>
        </w:rPr>
        <w:t>wielkopowierzchniowych</w:t>
      </w:r>
      <w:r w:rsidRPr="007078D3">
        <w:rPr>
          <w:rFonts w:ascii="Times New Roman" w:hAnsi="Times New Roman" w:cs="Times New Roman"/>
          <w:color w:val="000000"/>
          <w:szCs w:val="20"/>
        </w:rPr>
        <w:t> (znaki kierunku i miejscowości), wykonywane z betonu „na mokro” lub z betonu zbrojonego należy wykonać zgodnie z PN-S-02205:1998 [17].         Posadowienie fundamentów w wykopach otwartych bądź rozpartych należy wykonywać zgodnie z dokumentacją projektową, ST lub wskazaniami Inżyniera. Wykopy należy zabezpieczyć przed napływem wód opadowych przez wyprofilowanie terenu ze spadkiem umożliwiającym łatwy odpływ wody poza teren przylegający do wykopu. Dno wykopu powinno być wyrównane z dokładnością ± 2 </w:t>
      </w:r>
      <w:r w:rsidRPr="007078D3">
        <w:rPr>
          <w:rStyle w:val="spelle"/>
          <w:rFonts w:ascii="Times New Roman" w:hAnsi="Times New Roman" w:cs="Times New Roman"/>
          <w:color w:val="000000"/>
          <w:szCs w:val="20"/>
        </w:rPr>
        <w:t>cm</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Przy naruszonej strukturze gruntu rodzimego, grunt należy usunąć i miejsce wypełnić do spodu fundamentu betonem. Płaszczyzny boczne fundamentów stykające się z gruntem należy zaizolować np. emulsją asfaltową. Po wykonaniu fundamentu wykop należy zasypać warstwami grubości po 20 cm z dokładnym zagęszczeniem gruntu.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5.3.2.3. Poziom górnej powierzchni fundamentu: przy zamocowaniu konstrukcji wsporczej znaku w fundamencie betonowym lub innym podobnym - pożądane jest, by górna część fundamentu pokrywała się z powierzchnią pobocza, pasa dzielącego itp. lub była </w:t>
      </w:r>
      <w:r w:rsidRPr="007078D3">
        <w:rPr>
          <w:rStyle w:val="spelle"/>
          <w:rFonts w:ascii="Times New Roman" w:hAnsi="Times New Roman" w:cs="Times New Roman"/>
          <w:color w:val="000000"/>
          <w:szCs w:val="20"/>
        </w:rPr>
        <w:t>nad</w:t>
      </w:r>
      <w:r w:rsidRPr="007078D3">
        <w:rPr>
          <w:rFonts w:ascii="Times New Roman" w:hAnsi="Times New Roman" w:cs="Times New Roman"/>
          <w:color w:val="000000"/>
          <w:szCs w:val="20"/>
        </w:rPr>
        <w:t> tę powierzchnię wyniesiona nie więcej niż 0,03 m. W przypadku konstrukcji wsporczych, znajdujących się poza koroną drogi, górna część fundamentu powinna być wyniesiona </w:t>
      </w:r>
      <w:r w:rsidRPr="007078D3">
        <w:rPr>
          <w:rStyle w:val="spelle"/>
          <w:rFonts w:ascii="Times New Roman" w:hAnsi="Times New Roman" w:cs="Times New Roman"/>
          <w:color w:val="000000"/>
          <w:szCs w:val="20"/>
        </w:rPr>
        <w:t>nad</w:t>
      </w:r>
      <w:r w:rsidRPr="007078D3">
        <w:rPr>
          <w:rFonts w:ascii="Times New Roman" w:hAnsi="Times New Roman" w:cs="Times New Roman"/>
          <w:color w:val="000000"/>
          <w:szCs w:val="20"/>
        </w:rPr>
        <w:t> powierzchnię terenu nie więcej niż 0,15 m.</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5.4. Konstrukcje wsporcze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5.4.1.</w:t>
      </w:r>
      <w:r w:rsidRPr="007078D3">
        <w:rPr>
          <w:rFonts w:ascii="Times New Roman" w:hAnsi="Times New Roman" w:cs="Times New Roman"/>
          <w:color w:val="000000"/>
          <w:szCs w:val="20"/>
        </w:rPr>
        <w:t> Tolerancje ustawienia znaku pionowego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Konstrukcje wsporcze znaków - słupki, słupy, wysięgniki, konstrukcje dla tablic </w:t>
      </w:r>
      <w:r w:rsidRPr="007078D3">
        <w:rPr>
          <w:rStyle w:val="spelle"/>
          <w:rFonts w:ascii="Times New Roman" w:hAnsi="Times New Roman" w:cs="Times New Roman"/>
          <w:color w:val="000000"/>
          <w:szCs w:val="20"/>
        </w:rPr>
        <w:t>wielkopowierzchniowych</w:t>
      </w:r>
      <w:r w:rsidRPr="007078D3">
        <w:rPr>
          <w:rFonts w:ascii="Times New Roman" w:hAnsi="Times New Roman" w:cs="Times New Roman"/>
          <w:color w:val="000000"/>
          <w:szCs w:val="20"/>
        </w:rPr>
        <w:t>, powinny być wykonane zgodnie z dokumentacją i ST.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Dopuszczalne tolerancje ustawienia znaku:</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odchylenie od pionu, nie więcej niż ± 1%,</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odchylenie w wysokości umieszczenia znaku, nie więcej niż ± 2 cm,</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odchylenie w odległości ustawienia znaku od krawędzi jezdni utwardzonego pobocza lub pasa awaryjnego postoju, nie więcej niż ± 5 cm, przy zachowaniu minimalnej odległości umieszczenia znaku zgodnie z załącznikiem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 do rozporządzenia Ministra Infrastruktury z dnia 3 lipca 2003 r. [19],</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odchylenie poziome tarczy znaku na odcinku prostym drogi 5</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 w kierunku jezdni,</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odchylenie poziome tarczy znaku na łuku poziomym drogi w prawo 0-5</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 w kierunku jezdni,</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odchylenie poziome tarczy znaku na łuku poziomym drogi w lewo 5</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 – 10</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 w kierunku jezdni,</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odchylenie poziome od dopuszczalnego kąta pomiędzy powierzchnią tarczy znaku a osią jezdni, nie więcej niż 1</w:t>
      </w:r>
      <w:r w:rsidRPr="007078D3">
        <w:rPr>
          <w:rFonts w:ascii="Times New Roman" w:hAnsi="Times New Roman" w:cs="Times New Roman"/>
          <w:color w:val="000000"/>
          <w:szCs w:val="20"/>
          <w:vertAlign w:val="superscript"/>
        </w:rPr>
        <w:t>o</w:t>
      </w:r>
      <w:r w:rsidRPr="007078D3">
        <w:rPr>
          <w:rFonts w:ascii="Times New Roman" w:hAnsi="Times New Roman" w:cs="Times New Roman"/>
          <w:color w:val="000000"/>
          <w:szCs w:val="20"/>
        </w:rPr>
        <w: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5.4.2. </w:t>
      </w:r>
      <w:r w:rsidRPr="007078D3">
        <w:rPr>
          <w:rFonts w:ascii="Times New Roman" w:hAnsi="Times New Roman" w:cs="Times New Roman"/>
          <w:color w:val="000000"/>
          <w:szCs w:val="20"/>
        </w:rPr>
        <w:t>Zabezpieczenie konstrukcji wsporczej przed najechaniem</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Konstrukcje wsporcze znaków drogowych bramowych lub wysięgnikowych jedno lub dwustronnych, jak również konstrukcje wsporcze znaków tablicowych bocznych o powierzchni większej od 4,5 m</w:t>
      </w:r>
      <w:r w:rsidRPr="007078D3">
        <w:rPr>
          <w:rFonts w:ascii="Times New Roman" w:hAnsi="Times New Roman" w:cs="Times New Roman"/>
          <w:color w:val="000000"/>
          <w:szCs w:val="20"/>
          <w:vertAlign w:val="superscript"/>
        </w:rPr>
        <w:t>2</w:t>
      </w:r>
      <w:r w:rsidRPr="007078D3">
        <w:rPr>
          <w:rFonts w:ascii="Times New Roman" w:hAnsi="Times New Roman" w:cs="Times New Roman"/>
          <w:color w:val="000000"/>
          <w:szCs w:val="20"/>
        </w:rPr>
        <w:t>, gdy występuje możliwość bezpośredniego najechania na nie przez pojazd - muszą być zabezpieczone odpowiednio umieszczonymi barierami ochronnymi lub konstrukcją wsporczą bezpieczną, zgodnie z dokumentacją projektową, ST lub wskazaniami Inżyniera. Podobne zabezpieczenie należy stosować w przypadku innych konstrukcji wsporczych, gdy najechanie na nie w większym stopniu zagraża bezpieczeństwu użytkowników pojazdów, niż najechanie pojazdu na barierę, jeśli przewiduje to dokumentacja projektowa, ST lub Inżynier.</w:t>
      </w:r>
    </w:p>
    <w:p w:rsidR="00E847A6" w:rsidRPr="007078D3" w:rsidRDefault="00E847A6" w:rsidP="00E847A6">
      <w:pPr>
        <w:ind w:left="709" w:hanging="709"/>
        <w:rPr>
          <w:rFonts w:ascii="Times New Roman" w:hAnsi="Times New Roman" w:cs="Times New Roman"/>
          <w:color w:val="000000"/>
          <w:szCs w:val="20"/>
        </w:rPr>
      </w:pPr>
      <w:r w:rsidRPr="007078D3">
        <w:rPr>
          <w:rFonts w:ascii="Times New Roman" w:hAnsi="Times New Roman" w:cs="Times New Roman"/>
          <w:b/>
          <w:bCs/>
          <w:color w:val="000000"/>
          <w:szCs w:val="20"/>
        </w:rPr>
        <w:t>5.4.3.</w:t>
      </w:r>
      <w:r w:rsidRPr="007078D3">
        <w:rPr>
          <w:rFonts w:ascii="Times New Roman" w:hAnsi="Times New Roman" w:cs="Times New Roman"/>
          <w:color w:val="000000"/>
          <w:szCs w:val="20"/>
        </w:rPr>
        <w:t>   Zapobieganie zagrożeniu użytkowników drogi i terenu przyległego - przez konstrukcję wsporczą</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Konstrukcja wsporcza znaku musi być wykonana w sposób ograniczający zagrożenie użytkowników pojazdów samochodowych oraz innych użytkowników drogi i terenu do niej przyległego przy najechaniu przez pojazd na znak. Konstrukcja wsporcza znaku musi zapewnić możliwość łatwej naprawy po najechaniu przez pojazdy lub innym rodzaju uszkodzenia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5.4.4. </w:t>
      </w:r>
      <w:r w:rsidRPr="007078D3">
        <w:rPr>
          <w:rFonts w:ascii="Times New Roman" w:hAnsi="Times New Roman" w:cs="Times New Roman"/>
          <w:color w:val="000000"/>
          <w:szCs w:val="20"/>
        </w:rPr>
        <w:t>Tablicowe znaki drogowe na dwóch słupach lub podporach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Przy stosowaniu tablicowych znaków drogowych (drogowskazów tablicowych, tablic </w:t>
      </w:r>
      <w:r w:rsidRPr="007078D3">
        <w:rPr>
          <w:rStyle w:val="spelle"/>
          <w:rFonts w:ascii="Times New Roman" w:hAnsi="Times New Roman" w:cs="Times New Roman"/>
          <w:color w:val="000000"/>
          <w:szCs w:val="20"/>
        </w:rPr>
        <w:t>przeddrogowskazowych</w:t>
      </w:r>
      <w:r w:rsidRPr="007078D3">
        <w:rPr>
          <w:rFonts w:ascii="Times New Roman" w:hAnsi="Times New Roman" w:cs="Times New Roman"/>
          <w:color w:val="000000"/>
          <w:szCs w:val="20"/>
        </w:rPr>
        <w:t>, tablic szlaku drogowego, tablic objazdów itp.) umieszczanych na dwóch słupach lub podporach - odległość między tymi słupami lub podporami, mierzona prostopadle do przewidywanego kierunku najechania przez pojazd, nie może być mniejsza od 1,75 m. Przy stosowaniu większej liczby słupów niż dwa - odległość między nimi może być mniejsza.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5.4.5.</w:t>
      </w:r>
      <w:r w:rsidRPr="007078D3">
        <w:rPr>
          <w:rFonts w:ascii="Times New Roman" w:hAnsi="Times New Roman" w:cs="Times New Roman"/>
          <w:color w:val="000000"/>
          <w:szCs w:val="20"/>
        </w:rPr>
        <w:t> Barwa konstrukcji wsporczej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5.4.6.</w:t>
      </w:r>
      <w:r w:rsidRPr="007078D3">
        <w:rPr>
          <w:rFonts w:ascii="Times New Roman" w:hAnsi="Times New Roman" w:cs="Times New Roman"/>
          <w:color w:val="000000"/>
          <w:szCs w:val="20"/>
        </w:rPr>
        <w:t> Połączenie tarczy znaku z konstrukcją wsporczą</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Tarcza znaku musi być zamocowana do konstrukcji wsporczej w sposób uniemożliwiający jej przesunięcie lub obrót. Sposób wykonania połączenia tarczy znaku z konstrukcją wsporczą musi umożliwiać, przy użyciu odpowiednich narzędzi, odłączenie tarczy znaku od tej konstrukcji przez cały okres użytkowania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Na drogach i obszarach, na których występują częste przypadki dewastacji znaków, zaleca się stosowanie elementów złącznych o konstrukcji uniemożliwiającej lub znacznie utrudniającej ich rozłączenie przez osoby niepowołane.</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Nie dopuszcza się zamocowania znaku do konstrukcji wsporczej w sposób wymagający bezpośredniego przeprowadzenia śrub mocujących przez lico znaku.</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5.4.7.</w:t>
      </w:r>
      <w:r w:rsidRPr="007078D3">
        <w:rPr>
          <w:rFonts w:ascii="Times New Roman" w:hAnsi="Times New Roman" w:cs="Times New Roman"/>
          <w:color w:val="000000"/>
          <w:szCs w:val="20"/>
        </w:rPr>
        <w:t> Urządzenia elektryczne na konstrukcji wsporczej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Przy umieszczaniu na konstrukcji wsporczej znaku drogowego jakichkolwiek urządzeń elektrycznych - obowiązują zasady oznaczania i zabezpieczania tych urządzeń, określone w odpowiednich przepisach i zaleceniach dotyczących urządzeń elektroenergetycznych.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Aparaturę elektryczną należy montować na pojedynczym słupie. Na słupie powinna być zamocowana skrzynka elektryczna zgodnie z PN-EN 40-5:2004 [18]. Każda skrzynka elektryczna powinna być zabezpieczona zamkiem natomiast poziomem zabezpieczenia przed przenikaniem kurzu i wody, określonym w EN 60529:2003 [14], powinien być poziom 2 dla cząstek stałych i poziom 3 dla wody.</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23" w:name="_Toc505581989"/>
      <w:r w:rsidRPr="007078D3">
        <w:rPr>
          <w:rFonts w:ascii="Times New Roman" w:hAnsi="Times New Roman"/>
          <w:caps/>
          <w:color w:val="000000"/>
          <w:szCs w:val="20"/>
        </w:rPr>
        <w:t>6. KONTROLA JAKOŚCI ROBÓT</w:t>
      </w:r>
      <w:bookmarkEnd w:id="1323"/>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6.1. Ogólne zasady kontroli jakości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kontroli jakości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6.</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6.2. Badania przed przystąpieniem do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Przed przystąpieniem do robót Wykonawca powinien:</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uzyskać wymagane dokumenty dopuszczające wyroby budowlane do obrotu i powszechnego stosowania (np. stwierdzenie o oznakowaniu materiału znakiem CE lub znakiem budowlanym, krajową deklarację właściwości użytkowych, krajową deklarację zgodności, krajową ocenę techniczną, aprobatę techniczną [24] ew. badania materiałów wykonane przez dostawców, itp.)</w:t>
      </w:r>
    </w:p>
    <w:p w:rsidR="00E847A6" w:rsidRPr="007078D3" w:rsidRDefault="00E847A6" w:rsidP="00E847A6">
      <w:pPr>
        <w:ind w:left="360" w:hanging="360"/>
        <w:rPr>
          <w:rFonts w:ascii="Times New Roman" w:hAnsi="Times New Roman" w:cs="Times New Roman"/>
          <w:color w:val="000000"/>
          <w:szCs w:val="20"/>
        </w:rPr>
      </w:pPr>
      <w:r w:rsidRPr="007078D3">
        <w:rPr>
          <w:rFonts w:ascii="Times New Roman" w:hAnsi="Times New Roman" w:cs="Times New Roman"/>
          <w:color w:val="000000"/>
          <w:szCs w:val="20"/>
        </w:rPr>
        <w:t>-          ew. wykonać własne badania właściwości materiałów przeznaczonych do wykonania robót, określone przez Inżyniera.</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Wszystkie dokumenty oraz wyniki badań Wykonawca przedstawia Inżynierowi do akceptacji pod względem spełnienia wymogów formalnych oraz technicznych wynikających z dokumentacji projektowej i ST.</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6.3. Badania w czasie wykonywania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6.3.1.</w:t>
      </w:r>
      <w:r w:rsidRPr="007078D3">
        <w:rPr>
          <w:rFonts w:ascii="Times New Roman" w:hAnsi="Times New Roman" w:cs="Times New Roman"/>
          <w:color w:val="000000"/>
          <w:szCs w:val="20"/>
        </w:rPr>
        <w:t> Badania materiałów do wykonania fundamentów betonowych</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rsidR="00E847A6" w:rsidRPr="007078D3" w:rsidRDefault="00E847A6" w:rsidP="00E847A6">
      <w:pPr>
        <w:pStyle w:val="styliwony"/>
        <w:spacing w:before="0" w:beforeAutospacing="0" w:after="0" w:afterAutospacing="0"/>
        <w:jc w:val="both"/>
        <w:rPr>
          <w:color w:val="000000"/>
          <w:sz w:val="20"/>
          <w:szCs w:val="20"/>
        </w:rPr>
      </w:pPr>
      <w:r w:rsidRPr="007078D3">
        <w:rPr>
          <w:b/>
          <w:bCs/>
          <w:color w:val="000000"/>
          <w:sz w:val="20"/>
          <w:szCs w:val="20"/>
        </w:rPr>
        <w:t>6.3.2. </w:t>
      </w:r>
      <w:r w:rsidRPr="007078D3">
        <w:rPr>
          <w:color w:val="000000"/>
          <w:sz w:val="20"/>
          <w:szCs w:val="20"/>
        </w:rPr>
        <w:t>Badania materiałów w czasie wykonywania robót</w:t>
      </w:r>
    </w:p>
    <w:p w:rsidR="00E847A6" w:rsidRPr="007078D3" w:rsidRDefault="00E847A6" w:rsidP="00E847A6">
      <w:pPr>
        <w:pStyle w:val="styliwony"/>
        <w:spacing w:before="0" w:beforeAutospacing="0" w:after="0" w:afterAutospacing="0"/>
        <w:jc w:val="both"/>
        <w:rPr>
          <w:color w:val="000000"/>
          <w:sz w:val="20"/>
          <w:szCs w:val="20"/>
        </w:rPr>
      </w:pPr>
      <w:r w:rsidRPr="007078D3">
        <w:rPr>
          <w:color w:val="000000"/>
          <w:sz w:val="20"/>
          <w:szCs w:val="20"/>
        </w:rPr>
        <w:t>            Wszystkie materiały dostarczone na budowę powinny być sprawdzone w zakresie powierzchni wyrobu i jego wymiarów. Szczególnie należy zwrócić uwagę na rodzaj zastosowanej folii odblaskowej i grubość blachy.</w:t>
      </w:r>
    </w:p>
    <w:p w:rsidR="00E847A6" w:rsidRPr="007078D3" w:rsidRDefault="00E847A6" w:rsidP="00E847A6">
      <w:pPr>
        <w:pStyle w:val="styliwony"/>
        <w:spacing w:before="0" w:beforeAutospacing="0" w:after="0" w:afterAutospacing="0"/>
        <w:ind w:firstLine="709"/>
        <w:jc w:val="both"/>
        <w:rPr>
          <w:color w:val="000000"/>
          <w:sz w:val="20"/>
          <w:szCs w:val="20"/>
        </w:rPr>
      </w:pPr>
      <w:r w:rsidRPr="007078D3">
        <w:rPr>
          <w:color w:val="000000"/>
          <w:sz w:val="20"/>
          <w:szCs w:val="20"/>
        </w:rPr>
        <w:t>Częstotliwość badań i ocena ich wyników powinna być zgodna z ustaleniami zawartymi w tablicy 7.</w:t>
      </w:r>
    </w:p>
    <w:p w:rsidR="00E847A6" w:rsidRPr="007078D3" w:rsidRDefault="00E847A6" w:rsidP="00E847A6">
      <w:pPr>
        <w:pStyle w:val="styliwony"/>
        <w:spacing w:before="0" w:beforeAutospacing="0" w:after="0" w:afterAutospacing="0"/>
        <w:ind w:left="1134" w:hanging="992"/>
        <w:rPr>
          <w:color w:val="000000"/>
          <w:sz w:val="20"/>
          <w:szCs w:val="20"/>
        </w:rPr>
      </w:pPr>
      <w:r w:rsidRPr="007078D3">
        <w:rPr>
          <w:color w:val="000000"/>
          <w:sz w:val="20"/>
          <w:szCs w:val="20"/>
        </w:rPr>
        <w:t>Tablica 7. Częstotliwość badań przy sprawdzeniu powierzchni i wymiarów wyrobów dostarczonych przez producentów</w:t>
      </w:r>
    </w:p>
    <w:tbl>
      <w:tblPr>
        <w:tblW w:w="8857" w:type="dxa"/>
        <w:tblInd w:w="70" w:type="dxa"/>
        <w:shd w:val="clear" w:color="auto" w:fill="EAEAEA"/>
        <w:tblCellMar>
          <w:left w:w="0" w:type="dxa"/>
          <w:right w:w="0" w:type="dxa"/>
        </w:tblCellMar>
        <w:tblLook w:val="04A0"/>
      </w:tblPr>
      <w:tblGrid>
        <w:gridCol w:w="567"/>
        <w:gridCol w:w="1418"/>
        <w:gridCol w:w="1735"/>
        <w:gridCol w:w="3720"/>
        <w:gridCol w:w="1417"/>
      </w:tblGrid>
      <w:tr w:rsidR="00E847A6" w:rsidRPr="00EF535A" w:rsidTr="007E50B3">
        <w:tc>
          <w:tcPr>
            <w:tcW w:w="567" w:type="dxa"/>
            <w:tcBorders>
              <w:top w:val="single" w:sz="8" w:space="0" w:color="auto"/>
              <w:left w:val="single" w:sz="8" w:space="0" w:color="auto"/>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jc w:val="center"/>
              <w:rPr>
                <w:sz w:val="18"/>
                <w:szCs w:val="18"/>
              </w:rPr>
            </w:pPr>
            <w:r w:rsidRPr="00EF535A">
              <w:rPr>
                <w:sz w:val="18"/>
                <w:szCs w:val="18"/>
              </w:rPr>
              <w:t>Lp.</w:t>
            </w:r>
          </w:p>
        </w:tc>
        <w:tc>
          <w:tcPr>
            <w:tcW w:w="1418"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jc w:val="center"/>
              <w:rPr>
                <w:sz w:val="18"/>
                <w:szCs w:val="18"/>
              </w:rPr>
            </w:pPr>
            <w:r w:rsidRPr="00EF535A">
              <w:rPr>
                <w:sz w:val="18"/>
                <w:szCs w:val="18"/>
              </w:rPr>
              <w:t>Rodzaj badania</w:t>
            </w:r>
          </w:p>
        </w:tc>
        <w:tc>
          <w:tcPr>
            <w:tcW w:w="1735"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jc w:val="center"/>
              <w:rPr>
                <w:sz w:val="18"/>
                <w:szCs w:val="18"/>
              </w:rPr>
            </w:pPr>
            <w:r w:rsidRPr="00EF535A">
              <w:rPr>
                <w:sz w:val="18"/>
                <w:szCs w:val="18"/>
              </w:rPr>
              <w:t>Liczba badań</w:t>
            </w:r>
          </w:p>
        </w:tc>
        <w:tc>
          <w:tcPr>
            <w:tcW w:w="3720"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jc w:val="center"/>
              <w:rPr>
                <w:sz w:val="18"/>
                <w:szCs w:val="18"/>
              </w:rPr>
            </w:pPr>
            <w:r w:rsidRPr="00EF535A">
              <w:rPr>
                <w:sz w:val="18"/>
                <w:szCs w:val="18"/>
              </w:rPr>
              <w:t>Opis badań</w:t>
            </w:r>
          </w:p>
        </w:tc>
        <w:tc>
          <w:tcPr>
            <w:tcW w:w="1417" w:type="dxa"/>
            <w:tcBorders>
              <w:top w:val="single" w:sz="8" w:space="0" w:color="auto"/>
              <w:left w:val="nil"/>
              <w:bottom w:val="double" w:sz="4"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jc w:val="center"/>
              <w:rPr>
                <w:sz w:val="18"/>
                <w:szCs w:val="18"/>
              </w:rPr>
            </w:pPr>
            <w:r w:rsidRPr="00EF535A">
              <w:rPr>
                <w:sz w:val="18"/>
                <w:szCs w:val="18"/>
              </w:rPr>
              <w:t>Ocena wyników badań</w:t>
            </w:r>
          </w:p>
        </w:tc>
      </w:tr>
      <w:tr w:rsidR="00E847A6" w:rsidRPr="00EF535A" w:rsidTr="007E50B3">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jc w:val="center"/>
              <w:rPr>
                <w:sz w:val="18"/>
                <w:szCs w:val="18"/>
              </w:rPr>
            </w:pPr>
            <w:r w:rsidRPr="00EF535A">
              <w:rPr>
                <w:sz w:val="18"/>
                <w:szCs w:val="18"/>
              </w:rPr>
              <w:t>1</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rPr>
                <w:sz w:val="18"/>
                <w:szCs w:val="18"/>
              </w:rPr>
            </w:pPr>
            <w:r w:rsidRPr="00EF535A">
              <w:rPr>
                <w:sz w:val="18"/>
                <w:szCs w:val="18"/>
              </w:rPr>
              <w:t>Sprawdzenie powierzchni i rodzaju materiału</w:t>
            </w:r>
          </w:p>
        </w:tc>
        <w:tc>
          <w:tcPr>
            <w:tcW w:w="1735" w:type="dxa"/>
            <w:vMerge w:val="restart"/>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rPr>
                <w:sz w:val="18"/>
                <w:szCs w:val="18"/>
              </w:rPr>
            </w:pPr>
            <w:r w:rsidRPr="00EF535A">
              <w:rPr>
                <w:sz w:val="18"/>
                <w:szCs w:val="18"/>
              </w:rPr>
              <w:t>Od 1% do 2% wyrobów wybranych losowo z każdej dostarczonej partii wyrobów</w:t>
            </w:r>
          </w:p>
        </w:tc>
        <w:tc>
          <w:tcPr>
            <w:tcW w:w="372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rPr>
                <w:sz w:val="18"/>
                <w:szCs w:val="18"/>
              </w:rPr>
            </w:pPr>
            <w:r w:rsidRPr="00EF535A">
              <w:rPr>
                <w:sz w:val="18"/>
                <w:szCs w:val="18"/>
              </w:rPr>
              <w:t>Powierzchnię zbadać </w:t>
            </w:r>
            <w:r w:rsidRPr="00EF535A">
              <w:rPr>
                <w:rStyle w:val="spelle"/>
                <w:rFonts w:eastAsiaTheme="majorEastAsia"/>
                <w:sz w:val="18"/>
                <w:szCs w:val="18"/>
              </w:rPr>
              <w:t>organoleptycz-nie</w:t>
            </w:r>
            <w:r w:rsidRPr="00EF535A">
              <w:rPr>
                <w:sz w:val="18"/>
                <w:szCs w:val="18"/>
              </w:rPr>
              <w:t> i stosując dostępne narzędzia (np. liniały, suwmiarki, mikrometry, grubościomierze itp.</w:t>
            </w:r>
          </w:p>
        </w:tc>
        <w:tc>
          <w:tcPr>
            <w:tcW w:w="1417" w:type="dxa"/>
            <w:vMerge w:val="restart"/>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jc w:val="both"/>
              <w:rPr>
                <w:sz w:val="18"/>
                <w:szCs w:val="18"/>
              </w:rPr>
            </w:pPr>
            <w:r w:rsidRPr="00EF535A">
              <w:rPr>
                <w:sz w:val="18"/>
                <w:szCs w:val="18"/>
              </w:rPr>
              <w:t> </w:t>
            </w:r>
          </w:p>
          <w:p w:rsidR="00E847A6" w:rsidRPr="00EF535A" w:rsidRDefault="00E847A6" w:rsidP="007E50B3">
            <w:pPr>
              <w:pStyle w:val="styliwony"/>
              <w:spacing w:before="0" w:beforeAutospacing="0" w:after="0" w:afterAutospacing="0"/>
              <w:rPr>
                <w:sz w:val="18"/>
                <w:szCs w:val="18"/>
              </w:rPr>
            </w:pPr>
            <w:r w:rsidRPr="00EF535A">
              <w:rPr>
                <w:sz w:val="18"/>
                <w:szCs w:val="18"/>
              </w:rPr>
              <w:t>Wyniki badań powinny być zgodne z wymagania-mi punktu 2</w:t>
            </w:r>
          </w:p>
        </w:tc>
      </w:tr>
      <w:tr w:rsidR="00E847A6" w:rsidRPr="00EF535A" w:rsidTr="007E50B3">
        <w:tc>
          <w:tcPr>
            <w:tcW w:w="567" w:type="dxa"/>
            <w:tcBorders>
              <w:top w:val="nil"/>
              <w:left w:val="single" w:sz="8" w:space="0" w:color="auto"/>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jc w:val="center"/>
              <w:rPr>
                <w:sz w:val="18"/>
                <w:szCs w:val="18"/>
              </w:rPr>
            </w:pPr>
            <w:r w:rsidRPr="00EF535A">
              <w:rPr>
                <w:sz w:val="18"/>
                <w:szCs w:val="18"/>
              </w:rPr>
              <w:t>2</w:t>
            </w:r>
          </w:p>
        </w:tc>
        <w:tc>
          <w:tcPr>
            <w:tcW w:w="1418"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jc w:val="both"/>
              <w:rPr>
                <w:sz w:val="18"/>
                <w:szCs w:val="18"/>
              </w:rPr>
            </w:pPr>
            <w:r w:rsidRPr="00EF535A">
              <w:rPr>
                <w:sz w:val="18"/>
                <w:szCs w:val="18"/>
              </w:rPr>
              <w:t>Sprawdzenie wymiarów i wybranych właściwości</w:t>
            </w:r>
          </w:p>
        </w:tc>
        <w:tc>
          <w:tcPr>
            <w:tcW w:w="0" w:type="auto"/>
            <w:vMerge/>
            <w:tcBorders>
              <w:top w:val="nil"/>
              <w:left w:val="nil"/>
              <w:bottom w:val="single" w:sz="8" w:space="0" w:color="auto"/>
              <w:right w:val="single" w:sz="8" w:space="0" w:color="auto"/>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c>
          <w:tcPr>
            <w:tcW w:w="3720" w:type="dxa"/>
            <w:tcBorders>
              <w:top w:val="nil"/>
              <w:left w:val="nil"/>
              <w:bottom w:val="single" w:sz="8" w:space="0" w:color="auto"/>
              <w:right w:val="single" w:sz="8" w:space="0" w:color="auto"/>
            </w:tcBorders>
            <w:shd w:val="clear" w:color="auto" w:fill="EAEAEA"/>
            <w:noWrap/>
            <w:tcMar>
              <w:top w:w="0" w:type="dxa"/>
              <w:left w:w="70" w:type="dxa"/>
              <w:bottom w:w="0" w:type="dxa"/>
              <w:right w:w="70" w:type="dxa"/>
            </w:tcMar>
            <w:hideMark/>
          </w:tcPr>
          <w:p w:rsidR="00E847A6" w:rsidRPr="00EF535A" w:rsidRDefault="00E847A6" w:rsidP="007E50B3">
            <w:pPr>
              <w:pStyle w:val="styliwony"/>
              <w:spacing w:before="0" w:beforeAutospacing="0" w:after="0" w:afterAutospacing="0"/>
              <w:rPr>
                <w:sz w:val="18"/>
                <w:szCs w:val="18"/>
              </w:rPr>
            </w:pPr>
            <w:r w:rsidRPr="00EF535A">
              <w:rPr>
                <w:sz w:val="18"/>
                <w:szCs w:val="18"/>
              </w:rPr>
              <w:t>Przeprowadzić sprawdzianami lub przyrządami pomiarowymi (np. liniałami, przymiarami, reflektometrem, kolorymetrem, itp.)</w:t>
            </w:r>
          </w:p>
        </w:tc>
        <w:tc>
          <w:tcPr>
            <w:tcW w:w="0" w:type="auto"/>
            <w:vMerge/>
            <w:tcBorders>
              <w:top w:val="nil"/>
              <w:left w:val="nil"/>
              <w:bottom w:val="single" w:sz="8" w:space="0" w:color="auto"/>
              <w:right w:val="single" w:sz="8" w:space="0" w:color="auto"/>
            </w:tcBorders>
            <w:shd w:val="clear" w:color="auto" w:fill="EAEAEA"/>
            <w:vAlign w:val="center"/>
            <w:hideMark/>
          </w:tcPr>
          <w:p w:rsidR="00E847A6" w:rsidRPr="00EF535A" w:rsidRDefault="00E847A6" w:rsidP="007E50B3">
            <w:pPr>
              <w:rPr>
                <w:rFonts w:ascii="Times New Roman" w:hAnsi="Times New Roman" w:cs="Times New Roman"/>
                <w:sz w:val="18"/>
                <w:szCs w:val="18"/>
              </w:rPr>
            </w:pPr>
          </w:p>
        </w:tc>
      </w:tr>
    </w:tbl>
    <w:p w:rsidR="00E847A6" w:rsidRPr="007078D3" w:rsidRDefault="00E847A6" w:rsidP="00E847A6">
      <w:pPr>
        <w:pStyle w:val="styliwony"/>
        <w:spacing w:before="0" w:beforeAutospacing="0" w:after="0" w:afterAutospacing="0"/>
        <w:ind w:firstLine="709"/>
        <w:jc w:val="both"/>
        <w:rPr>
          <w:color w:val="000000"/>
          <w:sz w:val="20"/>
          <w:szCs w:val="20"/>
        </w:rPr>
      </w:pPr>
      <w:r w:rsidRPr="007078D3">
        <w:rPr>
          <w:color w:val="000000"/>
          <w:sz w:val="20"/>
          <w:szCs w:val="20"/>
        </w:rPr>
        <w:t>Sprawdzenie własności odblaskowych i kolorymetrycznych (współczynnika luminancji i współrzędnych chromatyczności) zaleca się przeprowadzić na licach tarcz znaków przed zamontowaniem na konstrukcjach wsporczych.</w:t>
      </w:r>
    </w:p>
    <w:p w:rsidR="00E847A6" w:rsidRPr="007078D3" w:rsidRDefault="00E847A6" w:rsidP="00E847A6">
      <w:pPr>
        <w:pStyle w:val="styliwony"/>
        <w:spacing w:before="0" w:beforeAutospacing="0" w:after="0" w:afterAutospacing="0"/>
        <w:ind w:firstLine="709"/>
        <w:jc w:val="both"/>
        <w:rPr>
          <w:color w:val="000000"/>
          <w:sz w:val="20"/>
          <w:szCs w:val="20"/>
        </w:rPr>
      </w:pPr>
      <w:r w:rsidRPr="007078D3">
        <w:rPr>
          <w:color w:val="000000"/>
          <w:sz w:val="20"/>
          <w:szCs w:val="20"/>
        </w:rPr>
        <w:t>W przypadkach budzących wątpliwości należy zlecić uprawnionej jednostce zbadanie właściwości dostarczonych wyrobów i materiałów w zakresie wymagań podanych w punkcie 2. Przykładowy zestaw badań kontrolnych może obejmować sprawdzenie:</w:t>
      </w:r>
    </w:p>
    <w:p w:rsidR="00E847A6" w:rsidRPr="007078D3" w:rsidRDefault="00E847A6" w:rsidP="00E847A6">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         surowców:</w:t>
      </w:r>
    </w:p>
    <w:p w:rsidR="00E847A6" w:rsidRPr="007078D3" w:rsidRDefault="00E847A6" w:rsidP="00E847A6">
      <w:pPr>
        <w:ind w:left="709" w:hanging="218"/>
        <w:rPr>
          <w:rFonts w:ascii="Times New Roman" w:hAnsi="Times New Roman" w:cs="Times New Roman"/>
          <w:color w:val="000000"/>
          <w:szCs w:val="20"/>
        </w:rPr>
      </w:pPr>
      <w:r w:rsidRPr="007078D3">
        <w:rPr>
          <w:rFonts w:ascii="Times New Roman" w:hAnsi="Times New Roman" w:cs="Times New Roman"/>
          <w:color w:val="000000"/>
          <w:szCs w:val="20"/>
        </w:rPr>
        <w:t>–    grubości blachy i grubości ścianki słupka,</w:t>
      </w:r>
    </w:p>
    <w:p w:rsidR="00E847A6" w:rsidRPr="007078D3" w:rsidRDefault="00E847A6" w:rsidP="00E847A6">
      <w:pPr>
        <w:ind w:left="709" w:hanging="218"/>
        <w:rPr>
          <w:rFonts w:ascii="Times New Roman" w:hAnsi="Times New Roman" w:cs="Times New Roman"/>
          <w:color w:val="000000"/>
          <w:szCs w:val="20"/>
        </w:rPr>
      </w:pPr>
      <w:r w:rsidRPr="007078D3">
        <w:rPr>
          <w:rFonts w:ascii="Times New Roman" w:hAnsi="Times New Roman" w:cs="Times New Roman"/>
          <w:color w:val="000000"/>
          <w:szCs w:val="20"/>
        </w:rPr>
        <w:t>–    wytrzymałości folii na oderwanie,</w:t>
      </w:r>
    </w:p>
    <w:p w:rsidR="00E847A6" w:rsidRPr="007078D3" w:rsidRDefault="00E847A6" w:rsidP="00E847A6">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         półproduktów lub gotowej tarczy znaku:</w:t>
      </w:r>
    </w:p>
    <w:p w:rsidR="00E847A6" w:rsidRPr="007078D3" w:rsidRDefault="00E847A6" w:rsidP="00E847A6">
      <w:pPr>
        <w:ind w:left="709" w:hanging="218"/>
        <w:rPr>
          <w:rFonts w:ascii="Times New Roman" w:hAnsi="Times New Roman" w:cs="Times New Roman"/>
          <w:color w:val="000000"/>
          <w:szCs w:val="20"/>
        </w:rPr>
      </w:pPr>
      <w:r w:rsidRPr="007078D3">
        <w:rPr>
          <w:rFonts w:ascii="Times New Roman" w:hAnsi="Times New Roman" w:cs="Times New Roman"/>
          <w:color w:val="000000"/>
          <w:szCs w:val="20"/>
        </w:rPr>
        <w:t>–    grubości powłoki lakierniczej,</w:t>
      </w:r>
    </w:p>
    <w:p w:rsidR="00E847A6" w:rsidRPr="007078D3" w:rsidRDefault="00E847A6" w:rsidP="00E847A6">
      <w:pPr>
        <w:ind w:left="709" w:hanging="218"/>
        <w:rPr>
          <w:rFonts w:ascii="Times New Roman" w:hAnsi="Times New Roman" w:cs="Times New Roman"/>
          <w:color w:val="000000"/>
          <w:szCs w:val="20"/>
        </w:rPr>
      </w:pPr>
      <w:r w:rsidRPr="007078D3">
        <w:rPr>
          <w:rFonts w:ascii="Times New Roman" w:hAnsi="Times New Roman" w:cs="Times New Roman"/>
          <w:color w:val="000000"/>
          <w:szCs w:val="20"/>
        </w:rPr>
        <w:t>–    płaskości powierzchni znaku.</w:t>
      </w:r>
    </w:p>
    <w:p w:rsidR="00E847A6" w:rsidRPr="007078D3" w:rsidRDefault="00E847A6" w:rsidP="00E847A6">
      <w:pPr>
        <w:ind w:left="709" w:hanging="218"/>
        <w:rPr>
          <w:rFonts w:ascii="Times New Roman" w:hAnsi="Times New Roman" w:cs="Times New Roman"/>
          <w:color w:val="000000"/>
          <w:szCs w:val="20"/>
        </w:rPr>
      </w:pPr>
      <w:r w:rsidRPr="007078D3">
        <w:rPr>
          <w:rFonts w:ascii="Times New Roman" w:hAnsi="Times New Roman" w:cs="Times New Roman"/>
          <w:color w:val="000000"/>
          <w:szCs w:val="20"/>
        </w:rPr>
        <w:t>–    wymiarów tarczy, lica znaku i rysunków na nim zawartych,</w:t>
      </w:r>
    </w:p>
    <w:p w:rsidR="00E847A6" w:rsidRPr="007078D3" w:rsidRDefault="00E847A6" w:rsidP="00E847A6">
      <w:pPr>
        <w:ind w:left="709" w:hanging="218"/>
        <w:rPr>
          <w:rFonts w:ascii="Times New Roman" w:hAnsi="Times New Roman" w:cs="Times New Roman"/>
          <w:color w:val="000000"/>
          <w:szCs w:val="20"/>
        </w:rPr>
      </w:pPr>
      <w:r w:rsidRPr="007078D3">
        <w:rPr>
          <w:rFonts w:ascii="Times New Roman" w:hAnsi="Times New Roman" w:cs="Times New Roman"/>
          <w:color w:val="000000"/>
          <w:szCs w:val="20"/>
        </w:rPr>
        <w:t>–    wartości współczynnika odblasku folii na licu znaku,</w:t>
      </w:r>
    </w:p>
    <w:p w:rsidR="00E847A6" w:rsidRPr="007078D3" w:rsidRDefault="00E847A6" w:rsidP="00E847A6">
      <w:pPr>
        <w:ind w:left="709" w:hanging="218"/>
        <w:rPr>
          <w:rFonts w:ascii="Times New Roman" w:hAnsi="Times New Roman" w:cs="Times New Roman"/>
          <w:color w:val="000000"/>
          <w:szCs w:val="20"/>
        </w:rPr>
      </w:pPr>
      <w:r w:rsidRPr="007078D3">
        <w:rPr>
          <w:rFonts w:ascii="Times New Roman" w:hAnsi="Times New Roman" w:cs="Times New Roman"/>
          <w:color w:val="000000"/>
          <w:szCs w:val="20"/>
        </w:rPr>
        <w:t>–    wartości współrzędnych chromatyczności i współczynnika luminancji na licu i rewersie znaku,</w:t>
      </w:r>
    </w:p>
    <w:p w:rsidR="00E847A6" w:rsidRPr="007078D3" w:rsidRDefault="00E847A6" w:rsidP="00E847A6">
      <w:pPr>
        <w:ind w:left="709" w:hanging="218"/>
        <w:rPr>
          <w:rFonts w:ascii="Times New Roman" w:hAnsi="Times New Roman" w:cs="Times New Roman"/>
          <w:color w:val="000000"/>
          <w:szCs w:val="20"/>
        </w:rPr>
      </w:pPr>
      <w:r w:rsidRPr="007078D3">
        <w:rPr>
          <w:rFonts w:ascii="Times New Roman" w:hAnsi="Times New Roman" w:cs="Times New Roman"/>
          <w:color w:val="000000"/>
          <w:szCs w:val="20"/>
        </w:rPr>
        <w:t>–    chwilowego i trwałego odkształcenia zginającego tarczę znaku i słupek,</w:t>
      </w:r>
    </w:p>
    <w:p w:rsidR="00E847A6" w:rsidRPr="007078D3" w:rsidRDefault="00E847A6" w:rsidP="00E847A6">
      <w:pPr>
        <w:ind w:left="709" w:hanging="218"/>
        <w:rPr>
          <w:rFonts w:ascii="Times New Roman" w:hAnsi="Times New Roman" w:cs="Times New Roman"/>
          <w:color w:val="000000"/>
          <w:szCs w:val="20"/>
        </w:rPr>
      </w:pPr>
      <w:r w:rsidRPr="007078D3">
        <w:rPr>
          <w:rFonts w:ascii="Times New Roman" w:hAnsi="Times New Roman" w:cs="Times New Roman"/>
          <w:color w:val="000000"/>
          <w:szCs w:val="20"/>
        </w:rPr>
        <w:t>–    odporności na uderzenie kulą.</w:t>
      </w:r>
    </w:p>
    <w:p w:rsidR="00E847A6" w:rsidRPr="007078D3" w:rsidRDefault="00E847A6" w:rsidP="00E847A6">
      <w:pPr>
        <w:pStyle w:val="styliwony"/>
        <w:spacing w:before="0" w:beforeAutospacing="0" w:after="0" w:afterAutospacing="0"/>
        <w:jc w:val="both"/>
        <w:rPr>
          <w:color w:val="000000"/>
          <w:sz w:val="20"/>
          <w:szCs w:val="20"/>
        </w:rPr>
      </w:pPr>
      <w:r w:rsidRPr="007078D3">
        <w:rPr>
          <w:b/>
          <w:bCs/>
          <w:color w:val="000000"/>
          <w:sz w:val="20"/>
          <w:szCs w:val="20"/>
        </w:rPr>
        <w:t>6.3.3. </w:t>
      </w:r>
      <w:r w:rsidRPr="007078D3">
        <w:rPr>
          <w:color w:val="000000"/>
          <w:sz w:val="20"/>
          <w:szCs w:val="20"/>
        </w:rPr>
        <w:t>Kontrola w czasie wykonywania robót</w:t>
      </w:r>
    </w:p>
    <w:p w:rsidR="00E847A6" w:rsidRPr="007078D3" w:rsidRDefault="00E847A6" w:rsidP="00E847A6">
      <w:pPr>
        <w:pStyle w:val="styliwony"/>
        <w:spacing w:before="0" w:beforeAutospacing="0" w:after="0" w:afterAutospacing="0"/>
        <w:jc w:val="both"/>
        <w:rPr>
          <w:color w:val="000000"/>
          <w:sz w:val="20"/>
          <w:szCs w:val="20"/>
        </w:rPr>
      </w:pPr>
      <w:r w:rsidRPr="007078D3">
        <w:rPr>
          <w:color w:val="000000"/>
          <w:sz w:val="20"/>
          <w:szCs w:val="20"/>
        </w:rPr>
        <w:t>            W czasie wykonywania robót należy sprawdzać:</w:t>
      </w:r>
    </w:p>
    <w:p w:rsidR="00E847A6" w:rsidRPr="007078D3" w:rsidRDefault="00E847A6" w:rsidP="00E847A6">
      <w:pPr>
        <w:pStyle w:val="styliwony"/>
        <w:spacing w:before="0" w:beforeAutospacing="0" w:after="0" w:afterAutospacing="0"/>
        <w:ind w:left="405" w:hanging="360"/>
        <w:jc w:val="both"/>
        <w:rPr>
          <w:color w:val="000000"/>
          <w:sz w:val="20"/>
          <w:szCs w:val="20"/>
        </w:rPr>
      </w:pPr>
      <w:r w:rsidRPr="007078D3">
        <w:rPr>
          <w:color w:val="000000"/>
          <w:sz w:val="20"/>
          <w:szCs w:val="20"/>
        </w:rPr>
        <w:lastRenderedPageBreak/>
        <w:t>-          zgodność wykonania znaków pionowych z dokumentacją projektową (lokalizacja, wymiary znaków, wysokość zamocowania znaków),</w:t>
      </w:r>
    </w:p>
    <w:p w:rsidR="00E847A6" w:rsidRPr="007078D3" w:rsidRDefault="00E847A6" w:rsidP="00E847A6">
      <w:pPr>
        <w:pStyle w:val="styliwony"/>
        <w:spacing w:before="0" w:beforeAutospacing="0" w:after="0" w:afterAutospacing="0"/>
        <w:ind w:left="405" w:hanging="360"/>
        <w:jc w:val="both"/>
        <w:rPr>
          <w:color w:val="000000"/>
          <w:sz w:val="20"/>
          <w:szCs w:val="20"/>
        </w:rPr>
      </w:pPr>
      <w:r w:rsidRPr="007078D3">
        <w:rPr>
          <w:color w:val="000000"/>
          <w:sz w:val="20"/>
          <w:szCs w:val="20"/>
        </w:rPr>
        <w:t>-          zachowanie dopuszczalnych odchyłek wymiarów, zgodnie z punktem 2 i 5,</w:t>
      </w:r>
    </w:p>
    <w:p w:rsidR="00E847A6" w:rsidRPr="007078D3" w:rsidRDefault="00E847A6" w:rsidP="00E847A6">
      <w:pPr>
        <w:pStyle w:val="styliwony"/>
        <w:spacing w:before="0" w:beforeAutospacing="0" w:after="0" w:afterAutospacing="0"/>
        <w:ind w:left="405" w:hanging="360"/>
        <w:jc w:val="both"/>
        <w:rPr>
          <w:color w:val="000000"/>
          <w:sz w:val="20"/>
          <w:szCs w:val="20"/>
        </w:rPr>
      </w:pPr>
      <w:r w:rsidRPr="007078D3">
        <w:rPr>
          <w:color w:val="000000"/>
          <w:sz w:val="20"/>
          <w:szCs w:val="20"/>
        </w:rPr>
        <w:t>-          prawidłowość wykonania wykopów pod konstrukcje wsporcze, zgodnie z punktem 5.3,</w:t>
      </w:r>
    </w:p>
    <w:p w:rsidR="00E847A6" w:rsidRPr="007078D3" w:rsidRDefault="00E847A6" w:rsidP="00E847A6">
      <w:pPr>
        <w:pStyle w:val="styliwony"/>
        <w:spacing w:before="0" w:beforeAutospacing="0" w:after="0" w:afterAutospacing="0"/>
        <w:ind w:left="405" w:hanging="360"/>
        <w:jc w:val="both"/>
        <w:rPr>
          <w:color w:val="000000"/>
          <w:sz w:val="20"/>
          <w:szCs w:val="20"/>
        </w:rPr>
      </w:pPr>
      <w:r w:rsidRPr="007078D3">
        <w:rPr>
          <w:color w:val="000000"/>
          <w:sz w:val="20"/>
          <w:szCs w:val="20"/>
        </w:rPr>
        <w:t>-          poprawność wykonania fundamentów pod słupki zgodnie z punktem 5.3,</w:t>
      </w:r>
    </w:p>
    <w:p w:rsidR="00E847A6" w:rsidRPr="007078D3" w:rsidRDefault="00E847A6" w:rsidP="00E847A6">
      <w:pPr>
        <w:pStyle w:val="styliwony"/>
        <w:spacing w:before="0" w:beforeAutospacing="0" w:after="0" w:afterAutospacing="0"/>
        <w:ind w:left="405" w:hanging="360"/>
        <w:jc w:val="both"/>
        <w:rPr>
          <w:color w:val="000000"/>
          <w:sz w:val="20"/>
          <w:szCs w:val="20"/>
        </w:rPr>
      </w:pPr>
      <w:r w:rsidRPr="007078D3">
        <w:rPr>
          <w:color w:val="000000"/>
          <w:sz w:val="20"/>
          <w:szCs w:val="20"/>
        </w:rPr>
        <w:t>-          poprawność ustawienia słupków i konstrukcji wsporczych, zgodnie z punktem 5.4,</w:t>
      </w:r>
    </w:p>
    <w:p w:rsidR="00E847A6" w:rsidRPr="007078D3" w:rsidRDefault="00E847A6" w:rsidP="00E847A6">
      <w:pPr>
        <w:pStyle w:val="styliwony"/>
        <w:spacing w:before="0" w:beforeAutospacing="0" w:after="0" w:afterAutospacing="0"/>
        <w:ind w:left="405" w:hanging="360"/>
        <w:jc w:val="both"/>
        <w:rPr>
          <w:color w:val="000000"/>
          <w:sz w:val="20"/>
          <w:szCs w:val="20"/>
        </w:rPr>
      </w:pPr>
      <w:r w:rsidRPr="007078D3">
        <w:rPr>
          <w:color w:val="000000"/>
          <w:sz w:val="20"/>
          <w:szCs w:val="20"/>
        </w:rPr>
        <w:t>-          zgodność rodzaju i grubości blachy ze specyfikacją,</w:t>
      </w:r>
    </w:p>
    <w:p w:rsidR="00E847A6" w:rsidRPr="007078D3" w:rsidRDefault="00E847A6" w:rsidP="00E847A6">
      <w:pPr>
        <w:pStyle w:val="styliwony"/>
        <w:spacing w:before="0" w:beforeAutospacing="0" w:after="0" w:afterAutospacing="0"/>
        <w:ind w:left="405" w:hanging="360"/>
        <w:jc w:val="both"/>
        <w:rPr>
          <w:color w:val="000000"/>
          <w:sz w:val="20"/>
          <w:szCs w:val="20"/>
        </w:rPr>
      </w:pPr>
      <w:r w:rsidRPr="007078D3">
        <w:rPr>
          <w:color w:val="000000"/>
          <w:sz w:val="20"/>
          <w:szCs w:val="20"/>
        </w:rPr>
        <w:t>-          grubość warstwy cynku na słupkach i blasze stalowej,</w:t>
      </w:r>
    </w:p>
    <w:p w:rsidR="00E847A6" w:rsidRPr="007078D3" w:rsidRDefault="00E847A6" w:rsidP="00E847A6">
      <w:pPr>
        <w:pStyle w:val="styliwony"/>
        <w:spacing w:before="0" w:beforeAutospacing="0" w:after="0" w:afterAutospacing="0"/>
        <w:ind w:left="405" w:hanging="360"/>
        <w:jc w:val="both"/>
        <w:rPr>
          <w:color w:val="000000"/>
          <w:sz w:val="20"/>
          <w:szCs w:val="20"/>
        </w:rPr>
      </w:pPr>
      <w:r w:rsidRPr="007078D3">
        <w:rPr>
          <w:color w:val="000000"/>
          <w:sz w:val="20"/>
          <w:szCs w:val="20"/>
        </w:rPr>
        <w:t>-          grubość warstwy lakieru na rewersie tarczy znaku.</w:t>
      </w:r>
    </w:p>
    <w:p w:rsidR="00E847A6" w:rsidRPr="007078D3" w:rsidRDefault="00E847A6" w:rsidP="00E847A6">
      <w:pPr>
        <w:pStyle w:val="styliwony"/>
        <w:spacing w:before="0" w:beforeAutospacing="0" w:after="0" w:afterAutospacing="0"/>
        <w:jc w:val="both"/>
        <w:rPr>
          <w:color w:val="000000"/>
          <w:sz w:val="20"/>
          <w:szCs w:val="20"/>
        </w:rPr>
      </w:pPr>
      <w:r w:rsidRPr="007078D3">
        <w:rPr>
          <w:b/>
          <w:bCs/>
          <w:color w:val="000000"/>
          <w:sz w:val="20"/>
          <w:szCs w:val="20"/>
        </w:rPr>
        <w:t>6.3.4. </w:t>
      </w:r>
      <w:r w:rsidRPr="007078D3">
        <w:rPr>
          <w:color w:val="000000"/>
          <w:sz w:val="20"/>
          <w:szCs w:val="20"/>
        </w:rPr>
        <w:t>Kontrola przed odbiorem końcowym</w:t>
      </w:r>
    </w:p>
    <w:p w:rsidR="00E847A6" w:rsidRPr="007078D3" w:rsidRDefault="00E847A6" w:rsidP="00E847A6">
      <w:pPr>
        <w:pStyle w:val="styliwony"/>
        <w:spacing w:before="0" w:beforeAutospacing="0" w:after="0" w:afterAutospacing="0"/>
        <w:jc w:val="both"/>
        <w:rPr>
          <w:color w:val="000000"/>
          <w:sz w:val="20"/>
          <w:szCs w:val="20"/>
        </w:rPr>
      </w:pPr>
      <w:r w:rsidRPr="007078D3">
        <w:rPr>
          <w:color w:val="000000"/>
          <w:sz w:val="20"/>
          <w:szCs w:val="20"/>
        </w:rPr>
        <w:t>            Do odbioru końcowego robót należy:</w:t>
      </w:r>
    </w:p>
    <w:p w:rsidR="00E847A6" w:rsidRPr="007078D3" w:rsidRDefault="00E847A6" w:rsidP="00E847A6">
      <w:pPr>
        <w:pStyle w:val="styliwony"/>
        <w:spacing w:before="0" w:beforeAutospacing="0" w:after="0" w:afterAutospacing="0"/>
        <w:ind w:left="360" w:hanging="360"/>
        <w:jc w:val="both"/>
        <w:rPr>
          <w:color w:val="000000"/>
          <w:sz w:val="20"/>
          <w:szCs w:val="20"/>
        </w:rPr>
      </w:pPr>
      <w:r w:rsidRPr="007078D3">
        <w:rPr>
          <w:color w:val="000000"/>
          <w:sz w:val="20"/>
          <w:szCs w:val="20"/>
        </w:rPr>
        <w:t>-          sprawdzić zgodność wykonania zlecenia z podpisaną umową i ST,</w:t>
      </w:r>
    </w:p>
    <w:p w:rsidR="00E847A6" w:rsidRPr="007078D3" w:rsidRDefault="00E847A6" w:rsidP="00E847A6">
      <w:pPr>
        <w:pStyle w:val="styliwony"/>
        <w:spacing w:before="0" w:beforeAutospacing="0" w:after="0" w:afterAutospacing="0"/>
        <w:ind w:left="360" w:hanging="360"/>
        <w:jc w:val="both"/>
        <w:rPr>
          <w:color w:val="000000"/>
          <w:sz w:val="20"/>
          <w:szCs w:val="20"/>
        </w:rPr>
      </w:pPr>
      <w:r w:rsidRPr="007078D3">
        <w:rPr>
          <w:color w:val="000000"/>
          <w:sz w:val="20"/>
          <w:szCs w:val="20"/>
        </w:rPr>
        <w:t>-          dokonać objazdu nocnego i ocenić odblaskowość wykonanego oznakowania,</w:t>
      </w:r>
    </w:p>
    <w:p w:rsidR="00E847A6" w:rsidRPr="007078D3" w:rsidRDefault="00E847A6" w:rsidP="00E847A6">
      <w:pPr>
        <w:pStyle w:val="styliwony"/>
        <w:spacing w:before="0" w:beforeAutospacing="0" w:after="0" w:afterAutospacing="0"/>
        <w:ind w:left="360" w:hanging="360"/>
        <w:jc w:val="both"/>
        <w:rPr>
          <w:color w:val="000000"/>
          <w:sz w:val="20"/>
          <w:szCs w:val="20"/>
        </w:rPr>
      </w:pPr>
      <w:r w:rsidRPr="007078D3">
        <w:rPr>
          <w:color w:val="000000"/>
          <w:sz w:val="20"/>
          <w:szCs w:val="20"/>
        </w:rPr>
        <w:t>-          jeśli są wątpliwości wykonać własnym sprzętem lub zlecić wykonanie badań odblaskowości.</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24" w:name="_Toc505581990"/>
      <w:r w:rsidRPr="007078D3">
        <w:rPr>
          <w:rFonts w:ascii="Times New Roman" w:hAnsi="Times New Roman"/>
          <w:caps/>
          <w:color w:val="000000"/>
          <w:szCs w:val="20"/>
        </w:rPr>
        <w:t>7. OBMIAR ROBÓT</w:t>
      </w:r>
      <w:bookmarkEnd w:id="1324"/>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7.1. Ogólne zasady obmiaru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obmiaru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7.</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7.2. Jednostka obmiarowa</w:t>
      </w:r>
    </w:p>
    <w:p w:rsidR="00E847A6" w:rsidRPr="007078D3" w:rsidRDefault="00E847A6" w:rsidP="00E847A6">
      <w:pPr>
        <w:pStyle w:val="styliwony"/>
        <w:spacing w:before="0" w:beforeAutospacing="0" w:after="0" w:afterAutospacing="0"/>
        <w:ind w:firstLine="709"/>
        <w:jc w:val="both"/>
        <w:rPr>
          <w:color w:val="000000"/>
          <w:sz w:val="20"/>
          <w:szCs w:val="20"/>
        </w:rPr>
      </w:pPr>
      <w:r w:rsidRPr="007078D3">
        <w:rPr>
          <w:color w:val="000000"/>
          <w:sz w:val="20"/>
          <w:szCs w:val="20"/>
        </w:rPr>
        <w:t>Jednostkami obmiarowymi są:</w:t>
      </w:r>
    </w:p>
    <w:p w:rsidR="00E847A6" w:rsidRPr="007078D3" w:rsidRDefault="00E847A6" w:rsidP="00E847A6">
      <w:pPr>
        <w:pStyle w:val="styliwony"/>
        <w:spacing w:before="0" w:beforeAutospacing="0" w:after="0" w:afterAutospacing="0"/>
        <w:ind w:left="283" w:hanging="283"/>
        <w:jc w:val="both"/>
        <w:rPr>
          <w:color w:val="000000"/>
          <w:sz w:val="20"/>
          <w:szCs w:val="20"/>
        </w:rPr>
      </w:pPr>
      <w:r w:rsidRPr="007078D3">
        <w:rPr>
          <w:color w:val="000000"/>
          <w:sz w:val="20"/>
          <w:szCs w:val="20"/>
        </w:rPr>
        <w:t>a)    szt. (sztuka), dla znaków drogowych konwencjonalnych oraz konstrukcji wsporczych,</w:t>
      </w:r>
    </w:p>
    <w:p w:rsidR="00E847A6" w:rsidRPr="007078D3" w:rsidRDefault="00E847A6" w:rsidP="00E847A6">
      <w:pPr>
        <w:pStyle w:val="styliwony"/>
        <w:spacing w:before="0" w:beforeAutospacing="0" w:after="0" w:afterAutospacing="0"/>
        <w:ind w:left="283" w:hanging="283"/>
        <w:jc w:val="both"/>
        <w:rPr>
          <w:color w:val="000000"/>
          <w:sz w:val="20"/>
          <w:szCs w:val="20"/>
        </w:rPr>
      </w:pPr>
      <w:r w:rsidRPr="007078D3">
        <w:rPr>
          <w:color w:val="000000"/>
          <w:sz w:val="20"/>
          <w:szCs w:val="20"/>
        </w:rPr>
        <w:t>b)   m</w:t>
      </w:r>
      <w:r w:rsidRPr="007078D3">
        <w:rPr>
          <w:color w:val="000000"/>
          <w:sz w:val="20"/>
          <w:szCs w:val="20"/>
          <w:vertAlign w:val="superscript"/>
        </w:rPr>
        <w:t>2</w:t>
      </w:r>
      <w:r w:rsidRPr="007078D3">
        <w:rPr>
          <w:color w:val="000000"/>
          <w:sz w:val="20"/>
          <w:szCs w:val="20"/>
        </w:rPr>
        <w:t> (metr kwadratowy) powierzchni tablic dla znaków pozostałych.</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25" w:name="_Toc505581991"/>
      <w:r w:rsidRPr="007078D3">
        <w:rPr>
          <w:rFonts w:ascii="Times New Roman" w:hAnsi="Times New Roman"/>
          <w:caps/>
          <w:color w:val="000000"/>
          <w:szCs w:val="20"/>
        </w:rPr>
        <w:t>8. ODBIÓR ROBÓT</w:t>
      </w:r>
      <w:bookmarkEnd w:id="1325"/>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8.1. Ogólne zasady odbioru robót</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odbioru robót podano w </w:t>
      </w:r>
      <w:r>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8.</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Roboty uznaje się za wykonane zgodnie z dokumentacją projektową, ST i wymaganiami Inżyniera, jeżeli przeprowadzone badania i pomiary z zachowaniem tolerancji według </w:t>
      </w:r>
      <w:r w:rsidRPr="007078D3">
        <w:rPr>
          <w:rStyle w:val="spelle"/>
          <w:rFonts w:ascii="Times New Roman" w:hAnsi="Times New Roman" w:cs="Times New Roman"/>
          <w:color w:val="000000"/>
          <w:szCs w:val="20"/>
        </w:rPr>
        <w:t>pktu</w:t>
      </w:r>
      <w:r w:rsidRPr="007078D3">
        <w:rPr>
          <w:rFonts w:ascii="Times New Roman" w:hAnsi="Times New Roman" w:cs="Times New Roman"/>
          <w:color w:val="000000"/>
          <w:szCs w:val="20"/>
        </w:rPr>
        <w:t> 6 dały wyniki pozytywne.</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8.2. Odbiór ostateczny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Odbiór robót oznakowania pionowego dokonywany jest na zasadzie odbioru ostatecznego. Odbiór ostateczny polega na finalnej ocenie rzeczywistego wykonania robót w odniesieniu do ich ilości, jakości i wartości [30]. Całkowite zakończenie robót oraz gotowość do odbioru ostatecznego będzie potwierdzona przez Wykonawcę wpisem do dziennika budowy z bezzwłocznym powiadomieniem na piśmie Inspektora Nadzoru.          Odbioru ostatecznego robót dokonuje komisja wyznaczona przez Zamawiającego w obecności Inspektora Nadzoru i Wykonawcy. Komisja odbierająca roboty dokonuje ich oceny jakościowej na podstawie oceny wizualnej, przedłożonych dokumentów, wyników badań i pomiarów oraz zgodności wykonania oznakowania z dokumentacja projektową i ST.</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8.3. Odbiór pogwarancyjny</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Przed upływem okresu gwarancyjnego jakości należy wykonać przegląd znaków i wybraną grupę poddać badaniom fotometrycznym lica. Pozytywne wyniki przeglądu i badań mogą być podstawą odbioru pogwarancyjnego.</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Odbiór pogwarancyjny polega na ocenie wykonanych robót związanych z usunięciem wad stwierdzonych w trakcie odbioru ostatecznego i zaistniałych w okresie gwarancyjnym.</w:t>
      </w:r>
    </w:p>
    <w:p w:rsidR="00E847A6" w:rsidRPr="007078D3" w:rsidRDefault="00E847A6" w:rsidP="00E847A6">
      <w:pPr>
        <w:ind w:firstLine="709"/>
        <w:rPr>
          <w:rFonts w:ascii="Times New Roman" w:hAnsi="Times New Roman" w:cs="Times New Roman"/>
          <w:color w:val="000000"/>
          <w:szCs w:val="20"/>
        </w:rPr>
      </w:pPr>
      <w:r w:rsidRPr="007078D3">
        <w:rPr>
          <w:rFonts w:ascii="Times New Roman" w:hAnsi="Times New Roman" w:cs="Times New Roman"/>
          <w:color w:val="000000"/>
          <w:szCs w:val="20"/>
        </w:rPr>
        <w:t>Odbiór pogwarancyjny zaleca się przeprowadzić w ciągu 1 miesiąca po upływie okresu gwarancyjnego, ustalonego w ST.</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26" w:name="_Toc505581992"/>
      <w:r w:rsidRPr="007078D3">
        <w:rPr>
          <w:rFonts w:ascii="Times New Roman" w:hAnsi="Times New Roman"/>
          <w:caps/>
          <w:color w:val="000000"/>
          <w:szCs w:val="20"/>
        </w:rPr>
        <w:t>9. PODSTAWA PŁATNOŚCI</w:t>
      </w:r>
      <w:bookmarkEnd w:id="1326"/>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9.1. Ogólne ustalenia dotyczące podstawy płatności</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ustalenia dotyczące podstawy płatności podano w </w:t>
      </w:r>
      <w:r>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w:t>
      </w:r>
      <w:r w:rsidRPr="007078D3">
        <w:rPr>
          <w:rStyle w:val="spelle"/>
          <w:rFonts w:ascii="Times New Roman" w:hAnsi="Times New Roman" w:cs="Times New Roman"/>
          <w:color w:val="000000"/>
          <w:szCs w:val="20"/>
        </w:rPr>
        <w:t>pkt</w:t>
      </w:r>
      <w:r w:rsidRPr="007078D3">
        <w:rPr>
          <w:rFonts w:ascii="Times New Roman" w:hAnsi="Times New Roman" w:cs="Times New Roman"/>
          <w:color w:val="000000"/>
          <w:szCs w:val="20"/>
        </w:rPr>
        <w:t> 9.</w:t>
      </w:r>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9.2. Cena jednostki obmiarowej</w:t>
      </w:r>
    </w:p>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color w:val="000000"/>
          <w:szCs w:val="20"/>
        </w:rPr>
        <w:t>            Cena wykonania jednostki obmiarowej oznakowania pionowego obejmuje:</w:t>
      </w:r>
    </w:p>
    <w:p w:rsidR="00E847A6" w:rsidRPr="007078D3" w:rsidRDefault="00E847A6" w:rsidP="00E847A6">
      <w:pPr>
        <w:ind w:left="405" w:hanging="360"/>
        <w:rPr>
          <w:rFonts w:ascii="Times New Roman" w:hAnsi="Times New Roman" w:cs="Times New Roman"/>
          <w:color w:val="000000"/>
          <w:szCs w:val="20"/>
        </w:rPr>
      </w:pPr>
      <w:r w:rsidRPr="007078D3">
        <w:rPr>
          <w:rFonts w:ascii="Times New Roman" w:hAnsi="Times New Roman" w:cs="Times New Roman"/>
          <w:color w:val="000000"/>
          <w:szCs w:val="20"/>
        </w:rPr>
        <w:t>-          prace pomiarowe i roboty przygotowawcze,</w:t>
      </w:r>
    </w:p>
    <w:p w:rsidR="00E847A6" w:rsidRPr="007078D3" w:rsidRDefault="00E847A6" w:rsidP="00E847A6">
      <w:pPr>
        <w:ind w:left="405" w:hanging="360"/>
        <w:rPr>
          <w:rFonts w:ascii="Times New Roman" w:hAnsi="Times New Roman" w:cs="Times New Roman"/>
          <w:color w:val="000000"/>
          <w:szCs w:val="20"/>
        </w:rPr>
      </w:pPr>
      <w:r w:rsidRPr="007078D3">
        <w:rPr>
          <w:rFonts w:ascii="Times New Roman" w:hAnsi="Times New Roman" w:cs="Times New Roman"/>
          <w:color w:val="000000"/>
          <w:szCs w:val="20"/>
        </w:rPr>
        <w:t>-          wykonanie fundamentów,</w:t>
      </w:r>
    </w:p>
    <w:p w:rsidR="00E847A6" w:rsidRPr="007078D3" w:rsidRDefault="00E847A6" w:rsidP="00E847A6">
      <w:pPr>
        <w:ind w:left="405" w:hanging="360"/>
        <w:rPr>
          <w:rFonts w:ascii="Times New Roman" w:hAnsi="Times New Roman" w:cs="Times New Roman"/>
          <w:color w:val="000000"/>
          <w:szCs w:val="20"/>
        </w:rPr>
      </w:pPr>
      <w:r w:rsidRPr="007078D3">
        <w:rPr>
          <w:rFonts w:ascii="Times New Roman" w:hAnsi="Times New Roman" w:cs="Times New Roman"/>
          <w:color w:val="000000"/>
          <w:szCs w:val="20"/>
        </w:rPr>
        <w:t>-          dostarczenie i ustawienie konstrukcji wsporczych,</w:t>
      </w:r>
    </w:p>
    <w:p w:rsidR="00E847A6" w:rsidRPr="007078D3" w:rsidRDefault="00E847A6" w:rsidP="00E847A6">
      <w:pPr>
        <w:ind w:left="405" w:hanging="360"/>
        <w:rPr>
          <w:rFonts w:ascii="Times New Roman" w:hAnsi="Times New Roman" w:cs="Times New Roman"/>
          <w:color w:val="000000"/>
          <w:szCs w:val="20"/>
        </w:rPr>
      </w:pPr>
      <w:r w:rsidRPr="007078D3">
        <w:rPr>
          <w:rFonts w:ascii="Times New Roman" w:hAnsi="Times New Roman" w:cs="Times New Roman"/>
          <w:color w:val="000000"/>
          <w:szCs w:val="20"/>
        </w:rPr>
        <w:t>-          zamocowanie tarcz znaków drogowych,</w:t>
      </w:r>
    </w:p>
    <w:p w:rsidR="00E847A6" w:rsidRPr="007078D3" w:rsidRDefault="00E847A6" w:rsidP="00E847A6">
      <w:pPr>
        <w:ind w:left="405" w:hanging="360"/>
        <w:rPr>
          <w:rFonts w:ascii="Times New Roman" w:hAnsi="Times New Roman" w:cs="Times New Roman"/>
          <w:color w:val="000000"/>
          <w:szCs w:val="20"/>
        </w:rPr>
      </w:pPr>
      <w:r w:rsidRPr="007078D3">
        <w:rPr>
          <w:rFonts w:ascii="Times New Roman" w:hAnsi="Times New Roman" w:cs="Times New Roman"/>
          <w:color w:val="000000"/>
          <w:szCs w:val="20"/>
        </w:rPr>
        <w:t>-          przeprowadzenie pomiarów i badań wymaganych w ST.</w:t>
      </w:r>
    </w:p>
    <w:p w:rsidR="00E847A6" w:rsidRPr="007078D3" w:rsidRDefault="00E847A6" w:rsidP="00E847A6">
      <w:pPr>
        <w:pStyle w:val="Nagwek1"/>
        <w:spacing w:before="0" w:beforeAutospacing="0" w:after="0" w:afterAutospacing="0"/>
        <w:jc w:val="both"/>
        <w:rPr>
          <w:rFonts w:ascii="Times New Roman" w:hAnsi="Times New Roman"/>
          <w:caps/>
          <w:color w:val="000000"/>
          <w:szCs w:val="20"/>
        </w:rPr>
      </w:pPr>
      <w:bookmarkStart w:id="1327" w:name="_Toc505581993"/>
      <w:r w:rsidRPr="007078D3">
        <w:rPr>
          <w:rFonts w:ascii="Times New Roman" w:hAnsi="Times New Roman"/>
          <w:caps/>
          <w:color w:val="000000"/>
          <w:szCs w:val="20"/>
        </w:rPr>
        <w:t>10. PRZEPISY ZWIĄZANE</w:t>
      </w:r>
      <w:bookmarkEnd w:id="1327"/>
    </w:p>
    <w:p w:rsidR="00E847A6" w:rsidRPr="007078D3" w:rsidRDefault="00E847A6" w:rsidP="00E847A6">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10.1. Normy</w:t>
      </w:r>
    </w:p>
    <w:tbl>
      <w:tblPr>
        <w:tblW w:w="0" w:type="auto"/>
        <w:shd w:val="clear" w:color="auto" w:fill="EAEAEA"/>
        <w:tblCellMar>
          <w:left w:w="0" w:type="dxa"/>
          <w:right w:w="0" w:type="dxa"/>
        </w:tblCellMar>
        <w:tblLook w:val="04A0"/>
      </w:tblPr>
      <w:tblGrid>
        <w:gridCol w:w="496"/>
        <w:gridCol w:w="2268"/>
        <w:gridCol w:w="7796"/>
      </w:tblGrid>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1.</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12899-1:2010</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Stałe, pionowe znaki drogowe - Część 1: Znaki stałe</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2.</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12767:2008</w:t>
            </w:r>
          </w:p>
        </w:tc>
        <w:tc>
          <w:tcPr>
            <w:tcW w:w="7796" w:type="dxa"/>
            <w:shd w:val="clear" w:color="auto" w:fill="EAEAEA"/>
            <w:tcMar>
              <w:top w:w="0" w:type="dxa"/>
              <w:left w:w="70" w:type="dxa"/>
              <w:bottom w:w="0" w:type="dxa"/>
              <w:right w:w="70" w:type="dxa"/>
            </w:tcMar>
            <w:hideMark/>
          </w:tcPr>
          <w:p w:rsidR="00E847A6" w:rsidRPr="007078D3" w:rsidRDefault="00E847A6" w:rsidP="007E50B3">
            <w:pPr>
              <w:pStyle w:val="Stopka"/>
              <w:rPr>
                <w:rFonts w:ascii="Times New Roman" w:hAnsi="Times New Roman" w:cs="Times New Roman"/>
                <w:szCs w:val="20"/>
              </w:rPr>
            </w:pPr>
            <w:r w:rsidRPr="007078D3">
              <w:rPr>
                <w:rFonts w:ascii="Times New Roman" w:hAnsi="Times New Roman" w:cs="Times New Roman"/>
                <w:szCs w:val="20"/>
              </w:rPr>
              <w:t>Bierne bezpieczeństwo konstrukcji wsporczych dla urządzeń drogowych - Wymagania i metody badań</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3.</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1992-1-1: 2008/NA:2016-11</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Style w:val="spelle"/>
                <w:rFonts w:ascii="Times New Roman" w:hAnsi="Times New Roman" w:cs="Times New Roman"/>
                <w:szCs w:val="20"/>
              </w:rPr>
              <w:t>Eurokod</w:t>
            </w:r>
            <w:r w:rsidRPr="007078D3">
              <w:rPr>
                <w:rFonts w:ascii="Times New Roman" w:hAnsi="Times New Roman" w:cs="Times New Roman"/>
                <w:szCs w:val="20"/>
              </w:rPr>
              <w:t> 2: Projektowanie konstrukcji z betonu – Część 1-1: Reguły ogólne i reguły dla budynków</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4.</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206+A1:2016-12</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Beton - Wymagania, właściwości, produkcja i zgodność</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5.</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xml:space="preserve">PN-EN 1993-1-8: </w:t>
            </w:r>
            <w:r w:rsidRPr="007078D3">
              <w:rPr>
                <w:rFonts w:ascii="Times New Roman" w:hAnsi="Times New Roman" w:cs="Times New Roman"/>
                <w:szCs w:val="20"/>
              </w:rPr>
              <w:lastRenderedPageBreak/>
              <w:t>2006/NA:2011</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Style w:val="spelle"/>
                <w:rFonts w:ascii="Times New Roman" w:hAnsi="Times New Roman" w:cs="Times New Roman"/>
                <w:szCs w:val="20"/>
              </w:rPr>
              <w:lastRenderedPageBreak/>
              <w:t>Eurokod</w:t>
            </w:r>
            <w:r w:rsidRPr="007078D3">
              <w:rPr>
                <w:rFonts w:ascii="Times New Roman" w:hAnsi="Times New Roman" w:cs="Times New Roman"/>
                <w:szCs w:val="20"/>
              </w:rPr>
              <w:t> 3: Projektowanie konstrukcji stalowych – Część 1-8: Projektowanie węzłów</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lastRenderedPageBreak/>
              <w:t>  6.</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10255+A1:2009</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Rury ze stali niskostopowych do spawania i gwintowana – Warunki techniczne dostawy</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7</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lang w:val="de-DE"/>
              </w:rPr>
              <w:t>PN-EN 10346:2009</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Wyroby płaskie stalowe powlekane ogniowo w sposób ciągły - Warunki techniczne dostawy</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8.</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485-4:1997</w:t>
            </w:r>
          </w:p>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Aluminium i stopy aluminium - Blachy, taśmy i płyty - Tolerancje kształtu i wymiarów wyrobów walcowanych na zimno</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  9.</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lang w:val="de-DE"/>
              </w:rPr>
              <w:t>PN-EN  ISO 1461:2011</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Powłoki cynkowe nanoszone na wyroby stalowe i żeliwne metodą zanurzeniową - Wymaganie i metody badań</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10.</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10240:2001</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Wewnętrzne i/lub zewnętrzne powłoki ochronne rur stalowych - Wymagania dotyczące powłok wykonanych przez cynkowanie ogniowe w ocynkowniach zautomatyzowanych</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11.</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 ISO 7253:2000</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Wyroby lakierowe – Oznaczenie odporności powłok na działanie mgły solnej</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12.</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lang w:val="de-DE"/>
              </w:rPr>
              <w:t>PN-EN ISO 2808: 2008+A2:2014-07</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Farby i lakiery - Oznaczanie grubości powłoki</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13.</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lang w:val="de-DE"/>
              </w:rPr>
              <w:t>PN-EN 60598-2-2:2012</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Oprawy oświetleniowe – Część 2-2:Wymagania szczegółowe - Oprawy oświetleniowe wbudowane</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14.</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60529:2003</w:t>
            </w:r>
          </w:p>
        </w:tc>
        <w:tc>
          <w:tcPr>
            <w:tcW w:w="7796" w:type="dxa"/>
            <w:shd w:val="clear" w:color="auto" w:fill="EAEAEA"/>
            <w:tcMar>
              <w:top w:w="0" w:type="dxa"/>
              <w:left w:w="70" w:type="dxa"/>
              <w:bottom w:w="0" w:type="dxa"/>
              <w:right w:w="70" w:type="dxa"/>
            </w:tcMar>
            <w:hideMark/>
          </w:tcPr>
          <w:p w:rsidR="00E847A6" w:rsidRPr="007078D3" w:rsidRDefault="00E847A6" w:rsidP="007E50B3">
            <w:pPr>
              <w:pStyle w:val="Stopka"/>
              <w:rPr>
                <w:rFonts w:ascii="Times New Roman" w:hAnsi="Times New Roman" w:cs="Times New Roman"/>
                <w:szCs w:val="20"/>
              </w:rPr>
            </w:pPr>
            <w:r w:rsidRPr="007078D3">
              <w:rPr>
                <w:rFonts w:ascii="Times New Roman" w:hAnsi="Times New Roman" w:cs="Times New Roman"/>
                <w:szCs w:val="20"/>
              </w:rPr>
              <w:t>Stopnie ochrony zapewnianej przez obudowy (Kod IP)</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15.</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60598-1: 2015-04</w:t>
            </w:r>
          </w:p>
        </w:tc>
        <w:tc>
          <w:tcPr>
            <w:tcW w:w="7796" w:type="dxa"/>
            <w:shd w:val="clear" w:color="auto" w:fill="EAEAEA"/>
            <w:tcMar>
              <w:top w:w="0" w:type="dxa"/>
              <w:left w:w="70" w:type="dxa"/>
              <w:bottom w:w="0" w:type="dxa"/>
              <w:right w:w="70" w:type="dxa"/>
            </w:tcMar>
            <w:hideMark/>
          </w:tcPr>
          <w:p w:rsidR="00E847A6" w:rsidRPr="007078D3" w:rsidRDefault="00E847A6" w:rsidP="007E50B3">
            <w:pPr>
              <w:pStyle w:val="Stopka"/>
              <w:rPr>
                <w:rFonts w:ascii="Times New Roman" w:hAnsi="Times New Roman" w:cs="Times New Roman"/>
                <w:szCs w:val="20"/>
              </w:rPr>
            </w:pPr>
            <w:r w:rsidRPr="007078D3">
              <w:rPr>
                <w:rFonts w:ascii="Times New Roman" w:hAnsi="Times New Roman" w:cs="Times New Roman"/>
                <w:szCs w:val="20"/>
              </w:rPr>
              <w:t>Oprawy oświetleniowe – Część 1: Wymagania ogólne i badania</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16.</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Style w:val="spelle"/>
                <w:rFonts w:ascii="Times New Roman" w:hAnsi="Times New Roman" w:cs="Times New Roman"/>
                <w:szCs w:val="20"/>
              </w:rPr>
              <w:t>PN-HD</w:t>
            </w:r>
            <w:r w:rsidRPr="007078D3">
              <w:rPr>
                <w:rFonts w:ascii="Times New Roman" w:hAnsi="Times New Roman" w:cs="Times New Roman"/>
                <w:szCs w:val="20"/>
              </w:rPr>
              <w:t> 60364-1: 2010</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Instalacje elektryczne niskiego napięcia – Wymagania podstawowe, ustalanie ogólnych charakterystyk, definicje</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17.</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PN-S-02205:1998</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Drogi samochodowe. Roboty ziemne. Wymagania i badania</w:t>
            </w:r>
          </w:p>
        </w:tc>
      </w:tr>
      <w:tr w:rsidR="00E847A6" w:rsidRPr="007078D3" w:rsidTr="007E50B3">
        <w:tc>
          <w:tcPr>
            <w:tcW w:w="4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18</w:t>
            </w:r>
          </w:p>
        </w:tc>
        <w:tc>
          <w:tcPr>
            <w:tcW w:w="2268"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PN-EN 40-5:2004</w:t>
            </w:r>
          </w:p>
        </w:tc>
        <w:tc>
          <w:tcPr>
            <w:tcW w:w="7796" w:type="dxa"/>
            <w:shd w:val="clear" w:color="auto" w:fill="EAEAEA"/>
            <w:tcMar>
              <w:top w:w="0" w:type="dxa"/>
              <w:left w:w="70" w:type="dxa"/>
              <w:bottom w:w="0" w:type="dxa"/>
              <w:right w:w="70" w:type="dxa"/>
            </w:tcMar>
            <w:hideMark/>
          </w:tcPr>
          <w:p w:rsidR="00E847A6" w:rsidRPr="007078D3" w:rsidRDefault="00E847A6" w:rsidP="007E50B3">
            <w:pPr>
              <w:rPr>
                <w:rFonts w:ascii="Times New Roman" w:hAnsi="Times New Roman" w:cs="Times New Roman"/>
                <w:szCs w:val="20"/>
              </w:rPr>
            </w:pPr>
            <w:r w:rsidRPr="007078D3">
              <w:rPr>
                <w:rFonts w:ascii="Times New Roman" w:hAnsi="Times New Roman" w:cs="Times New Roman"/>
                <w:szCs w:val="20"/>
              </w:rPr>
              <w:t>Słupy oświetleniowe – Część 5: Słupy oświetleniowe stalowe - Wymagania</w:t>
            </w:r>
          </w:p>
        </w:tc>
      </w:tr>
    </w:tbl>
    <w:p w:rsidR="00E847A6" w:rsidRPr="007078D3" w:rsidRDefault="00E847A6" w:rsidP="00E847A6">
      <w:pPr>
        <w:rPr>
          <w:rFonts w:ascii="Times New Roman" w:hAnsi="Times New Roman" w:cs="Times New Roman"/>
          <w:color w:val="000000"/>
          <w:szCs w:val="20"/>
        </w:rPr>
      </w:pPr>
      <w:r w:rsidRPr="007078D3">
        <w:rPr>
          <w:rFonts w:ascii="Times New Roman" w:hAnsi="Times New Roman" w:cs="Times New Roman"/>
          <w:b/>
          <w:bCs/>
          <w:color w:val="000000"/>
          <w:szCs w:val="20"/>
        </w:rPr>
        <w:t>10.2  Przepisy związane</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19.         Załączniki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 i 4 do rozporządzenia Ministra Infrastruktury z dnia 3 lipca 2003 w sprawie szczegółowych warunków technicznych dla znaków i sygnałów drogowych oraz urządzeń bezpieczeństwa ruchu drogowego i warunków ich umieszczania na drogach (Dz. U.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220, poz. 2181)</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20.         Rozporządzenie Ministra Infrastruktury, Spraw Wewnętrznych i Administracji z dnia 12 października 2002 r. w sprawie znaków i symboli drogowych (Dz. U.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170, poz. 1393)</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21.         Rozporządzenie Parlamentu Europejskiego i Rady (UE) Nr 305/2011 z dnia 9 marca 2011 r. ustanawiające zharmonizowane warunki wprowadzania do obrotu wyrobów budowlanych i uchylające dyrektywę Rady 89/106/EWG</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22.         Rozporządzenie Ministra Infrastruktury z dnia 17 listopada 2016 w sprawie sposobu deklarowania właściwości użytkowych wyrobów budowlanych oraz sposobu ich znakowania znakiem budowlanym (Dz. U. z 2016 r., poz.1966),</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lang w:val="en-US"/>
        </w:rPr>
        <w:t>23.         </w:t>
      </w:r>
      <w:r w:rsidRPr="007078D3">
        <w:rPr>
          <w:rStyle w:val="spelle"/>
          <w:rFonts w:ascii="Times New Roman" w:hAnsi="Times New Roman" w:cs="Times New Roman"/>
          <w:color w:val="000000"/>
          <w:szCs w:val="20"/>
          <w:lang w:val="en-GB"/>
        </w:rPr>
        <w:t>Pryzmatyczne</w:t>
      </w:r>
      <w:r w:rsidRPr="007078D3">
        <w:rPr>
          <w:rFonts w:ascii="Times New Roman" w:hAnsi="Times New Roman" w:cs="Times New Roman"/>
          <w:color w:val="000000"/>
          <w:szCs w:val="20"/>
          <w:lang w:val="en-GB"/>
        </w:rPr>
        <w:t> </w:t>
      </w:r>
      <w:r w:rsidRPr="007078D3">
        <w:rPr>
          <w:rStyle w:val="spelle"/>
          <w:rFonts w:ascii="Times New Roman" w:hAnsi="Times New Roman" w:cs="Times New Roman"/>
          <w:color w:val="000000"/>
          <w:szCs w:val="20"/>
          <w:lang w:val="en-GB"/>
        </w:rPr>
        <w:t>folie</w:t>
      </w:r>
      <w:r w:rsidRPr="007078D3">
        <w:rPr>
          <w:rFonts w:ascii="Times New Roman" w:hAnsi="Times New Roman" w:cs="Times New Roman"/>
          <w:color w:val="000000"/>
          <w:szCs w:val="20"/>
          <w:lang w:val="en-GB"/>
        </w:rPr>
        <w:t> </w:t>
      </w:r>
      <w:r w:rsidRPr="007078D3">
        <w:rPr>
          <w:rStyle w:val="spelle"/>
          <w:rFonts w:ascii="Times New Roman" w:hAnsi="Times New Roman" w:cs="Times New Roman"/>
          <w:color w:val="000000"/>
          <w:szCs w:val="20"/>
          <w:lang w:val="en-GB"/>
        </w:rPr>
        <w:t>odblaskowe</w:t>
      </w:r>
      <w:r w:rsidRPr="007078D3">
        <w:rPr>
          <w:rFonts w:ascii="Times New Roman" w:hAnsi="Times New Roman" w:cs="Times New Roman"/>
          <w:color w:val="000000"/>
          <w:szCs w:val="20"/>
          <w:lang w:val="en-GB"/>
        </w:rPr>
        <w:t> (</w:t>
      </w:r>
      <w:r w:rsidRPr="007078D3">
        <w:rPr>
          <w:rStyle w:val="spelle"/>
          <w:rFonts w:ascii="Times New Roman" w:hAnsi="Times New Roman" w:cs="Times New Roman"/>
          <w:color w:val="000000"/>
          <w:szCs w:val="20"/>
          <w:lang w:val="en-GB"/>
        </w:rPr>
        <w:t>Microprismatic</w:t>
      </w:r>
      <w:r w:rsidRPr="007078D3">
        <w:rPr>
          <w:rFonts w:ascii="Times New Roman" w:hAnsi="Times New Roman" w:cs="Times New Roman"/>
          <w:color w:val="000000"/>
          <w:szCs w:val="20"/>
          <w:lang w:val="en-US"/>
        </w:rPr>
        <w:t> retro-reflective </w:t>
      </w:r>
      <w:r w:rsidRPr="007078D3">
        <w:rPr>
          <w:rStyle w:val="spelle"/>
          <w:rFonts w:ascii="Times New Roman" w:hAnsi="Times New Roman" w:cs="Times New Roman"/>
          <w:color w:val="000000"/>
          <w:szCs w:val="20"/>
          <w:lang w:val="en-GB"/>
        </w:rPr>
        <w:t>sheetings</w:t>
      </w:r>
      <w:r w:rsidRPr="007078D3">
        <w:rPr>
          <w:rFonts w:ascii="Times New Roman" w:hAnsi="Times New Roman" w:cs="Times New Roman"/>
          <w:color w:val="000000"/>
          <w:szCs w:val="20"/>
          <w:lang w:val="en-GB"/>
        </w:rPr>
        <w:t>)</w:t>
      </w:r>
      <w:r w:rsidRPr="007078D3">
        <w:rPr>
          <w:rFonts w:ascii="Times New Roman" w:hAnsi="Times New Roman" w:cs="Times New Roman"/>
          <w:color w:val="000000"/>
          <w:szCs w:val="20"/>
          <w:lang w:val="en-US"/>
        </w:rPr>
        <w:t>, EAD 120001-00-0106, EOTA, 2015</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24.         Ustawa o wyrobach budowlanych (tekst jednolity Dz. U. z 2016 r., poz. 1570 z </w:t>
      </w:r>
      <w:r w:rsidRPr="007078D3">
        <w:rPr>
          <w:rStyle w:val="spelle"/>
          <w:rFonts w:ascii="Times New Roman" w:hAnsi="Times New Roman" w:cs="Times New Roman"/>
          <w:color w:val="000000"/>
          <w:szCs w:val="20"/>
        </w:rPr>
        <w:t>późn</w:t>
      </w:r>
      <w:r w:rsidRPr="007078D3">
        <w:rPr>
          <w:rFonts w:ascii="Times New Roman" w:hAnsi="Times New Roman" w:cs="Times New Roman"/>
          <w:color w:val="000000"/>
          <w:szCs w:val="20"/>
        </w:rPr>
        <w:t>. zm.)</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25.         Ustawa o systemach oceny zgodności i nadzoru rynku z 13 kwietnia 2016 r. (</w:t>
      </w:r>
      <w:r w:rsidRPr="007078D3">
        <w:rPr>
          <w:rStyle w:val="spelle"/>
          <w:rFonts w:ascii="Times New Roman" w:hAnsi="Times New Roman" w:cs="Times New Roman"/>
          <w:color w:val="000000"/>
          <w:szCs w:val="20"/>
        </w:rPr>
        <w:t>Dz.U</w:t>
      </w:r>
      <w:r w:rsidRPr="007078D3">
        <w:rPr>
          <w:rFonts w:ascii="Times New Roman" w:hAnsi="Times New Roman" w:cs="Times New Roman"/>
          <w:color w:val="000000"/>
          <w:szCs w:val="20"/>
        </w:rPr>
        <w:t>. z 2016 r., poz. 542 i 1228)</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lang w:val="de-DE"/>
        </w:rPr>
        <w:t>26.         RAL </w:t>
      </w:r>
      <w:r w:rsidRPr="007078D3">
        <w:rPr>
          <w:rStyle w:val="spelle"/>
          <w:rFonts w:ascii="Times New Roman" w:hAnsi="Times New Roman" w:cs="Times New Roman"/>
          <w:color w:val="000000"/>
          <w:szCs w:val="20"/>
          <w:lang w:val="de-DE"/>
        </w:rPr>
        <w:t>Control</w:t>
      </w:r>
      <w:r w:rsidRPr="007078D3">
        <w:rPr>
          <w:rFonts w:ascii="Times New Roman" w:hAnsi="Times New Roman" w:cs="Times New Roman"/>
          <w:color w:val="000000"/>
          <w:szCs w:val="20"/>
          <w:lang w:val="de-DE"/>
        </w:rPr>
        <w:t> Chart, </w:t>
      </w:r>
      <w:r w:rsidRPr="007078D3">
        <w:rPr>
          <w:rStyle w:val="spelle"/>
          <w:rFonts w:ascii="Times New Roman" w:hAnsi="Times New Roman" w:cs="Times New Roman"/>
          <w:color w:val="000000"/>
          <w:szCs w:val="20"/>
          <w:lang w:val="de-DE"/>
        </w:rPr>
        <w:t>Niemiecki</w:t>
      </w:r>
      <w:r w:rsidRPr="007078D3">
        <w:rPr>
          <w:rFonts w:ascii="Times New Roman" w:hAnsi="Times New Roman" w:cs="Times New Roman"/>
          <w:color w:val="000000"/>
          <w:szCs w:val="20"/>
          <w:lang w:val="de-DE"/>
        </w:rPr>
        <w:t> </w:t>
      </w:r>
      <w:r w:rsidRPr="007078D3">
        <w:rPr>
          <w:rStyle w:val="spelle"/>
          <w:rFonts w:ascii="Times New Roman" w:hAnsi="Times New Roman" w:cs="Times New Roman"/>
          <w:color w:val="000000"/>
          <w:szCs w:val="20"/>
          <w:lang w:val="de-DE"/>
        </w:rPr>
        <w:t>Instytut</w:t>
      </w:r>
      <w:r w:rsidRPr="007078D3">
        <w:rPr>
          <w:rFonts w:ascii="Times New Roman" w:hAnsi="Times New Roman" w:cs="Times New Roman"/>
          <w:color w:val="000000"/>
          <w:szCs w:val="20"/>
          <w:lang w:val="de-DE"/>
        </w:rPr>
        <w:t> </w:t>
      </w:r>
      <w:r w:rsidRPr="007078D3">
        <w:rPr>
          <w:rStyle w:val="spelle"/>
          <w:rFonts w:ascii="Times New Roman" w:hAnsi="Times New Roman" w:cs="Times New Roman"/>
          <w:color w:val="000000"/>
          <w:szCs w:val="20"/>
          <w:lang w:val="de-DE"/>
        </w:rPr>
        <w:t>Jakości</w:t>
      </w:r>
      <w:r w:rsidRPr="007078D3">
        <w:rPr>
          <w:rFonts w:ascii="Times New Roman" w:hAnsi="Times New Roman" w:cs="Times New Roman"/>
          <w:color w:val="000000"/>
          <w:szCs w:val="20"/>
          <w:lang w:val="de-DE"/>
        </w:rPr>
        <w:t> i </w:t>
      </w:r>
      <w:r w:rsidRPr="007078D3">
        <w:rPr>
          <w:rStyle w:val="spelle"/>
          <w:rFonts w:ascii="Times New Roman" w:hAnsi="Times New Roman" w:cs="Times New Roman"/>
          <w:color w:val="000000"/>
          <w:szCs w:val="20"/>
          <w:lang w:val="de-DE"/>
        </w:rPr>
        <w:t>Oznaczeń</w:t>
      </w:r>
      <w:r w:rsidRPr="007078D3">
        <w:rPr>
          <w:rFonts w:ascii="Times New Roman" w:hAnsi="Times New Roman" w:cs="Times New Roman"/>
          <w:color w:val="000000"/>
          <w:szCs w:val="20"/>
          <w:lang w:val="de-DE"/>
        </w:rPr>
        <w:t> RAL „Deutsches Institut für Gütesicherung und Kennzeichnung e. V.“, www.ralcolor.com</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27.         CIE No. 54 (TC-2.3) </w:t>
      </w:r>
      <w:r w:rsidRPr="007078D3">
        <w:rPr>
          <w:rStyle w:val="spelle"/>
          <w:rFonts w:ascii="Times New Roman" w:hAnsi="Times New Roman" w:cs="Times New Roman"/>
          <w:color w:val="000000"/>
          <w:szCs w:val="20"/>
        </w:rPr>
        <w:t>Retroreflection</w:t>
      </w:r>
      <w:r w:rsidRPr="007078D3">
        <w:rPr>
          <w:rFonts w:ascii="Times New Roman" w:hAnsi="Times New Roman" w:cs="Times New Roman"/>
          <w:color w:val="000000"/>
          <w:szCs w:val="20"/>
        </w:rPr>
        <w:t> - </w:t>
      </w:r>
      <w:r w:rsidRPr="007078D3">
        <w:rPr>
          <w:rStyle w:val="spelle"/>
          <w:rFonts w:ascii="Times New Roman" w:hAnsi="Times New Roman" w:cs="Times New Roman"/>
          <w:color w:val="000000"/>
          <w:szCs w:val="20"/>
        </w:rPr>
        <w:t>Definition</w:t>
      </w:r>
      <w:r w:rsidRPr="007078D3">
        <w:rPr>
          <w:rFonts w:ascii="Times New Roman" w:hAnsi="Times New Roman" w:cs="Times New Roman"/>
          <w:color w:val="000000"/>
          <w:szCs w:val="20"/>
        </w:rPr>
        <w:t> and </w:t>
      </w:r>
      <w:r w:rsidRPr="007078D3">
        <w:rPr>
          <w:rStyle w:val="spelle"/>
          <w:rFonts w:ascii="Times New Roman" w:hAnsi="Times New Roman" w:cs="Times New Roman"/>
          <w:color w:val="000000"/>
          <w:szCs w:val="20"/>
        </w:rPr>
        <w:t>measurement</w:t>
      </w:r>
      <w:r w:rsidRPr="007078D3">
        <w:rPr>
          <w:rFonts w:ascii="Times New Roman" w:hAnsi="Times New Roman" w:cs="Times New Roman"/>
          <w:color w:val="000000"/>
          <w:szCs w:val="20"/>
        </w:rPr>
        <w:t> (Powierzchniowy współczynnik odblasku - definicja i pomiary). </w:t>
      </w:r>
      <w:r w:rsidRPr="007078D3">
        <w:rPr>
          <w:rStyle w:val="spelle"/>
          <w:rFonts w:ascii="Times New Roman" w:hAnsi="Times New Roman" w:cs="Times New Roman"/>
          <w:color w:val="000000"/>
          <w:szCs w:val="20"/>
        </w:rPr>
        <w:t>Bureau</w:t>
      </w:r>
      <w:r w:rsidRPr="007078D3">
        <w:rPr>
          <w:rFonts w:ascii="Times New Roman" w:hAnsi="Times New Roman" w:cs="Times New Roman"/>
          <w:color w:val="000000"/>
          <w:szCs w:val="20"/>
        </w:rPr>
        <w:t> Central, </w:t>
      </w:r>
      <w:r w:rsidRPr="007078D3">
        <w:rPr>
          <w:rStyle w:val="spelle"/>
          <w:rFonts w:ascii="Times New Roman" w:hAnsi="Times New Roman" w:cs="Times New Roman"/>
          <w:color w:val="000000"/>
          <w:szCs w:val="20"/>
        </w:rPr>
        <w:t>Paris</w:t>
      </w:r>
      <w:r w:rsidRPr="007078D3">
        <w:rPr>
          <w:rFonts w:ascii="Times New Roman" w:hAnsi="Times New Roman" w:cs="Times New Roman"/>
          <w:color w:val="000000"/>
          <w:szCs w:val="20"/>
        </w:rPr>
        <w:t>, 1982</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28.         Aktywne Pionowe Znaki Drogowe i Urządzenia Bezpieczeństwa Ruchu Drogowego, Zalecenia </w:t>
      </w:r>
      <w:r w:rsidRPr="007078D3">
        <w:rPr>
          <w:rStyle w:val="spelle"/>
          <w:rFonts w:ascii="Times New Roman" w:hAnsi="Times New Roman" w:cs="Times New Roman"/>
          <w:color w:val="000000"/>
          <w:szCs w:val="20"/>
        </w:rPr>
        <w:t>nr</w:t>
      </w:r>
      <w:r w:rsidRPr="007078D3">
        <w:rPr>
          <w:rFonts w:ascii="Times New Roman" w:hAnsi="Times New Roman" w:cs="Times New Roman"/>
          <w:color w:val="000000"/>
          <w:szCs w:val="20"/>
        </w:rPr>
        <w:t> Z/2010-03-024, Zeszyt 80, seria I, IBDiM, 2010</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29.         Prawo budowlane  (tekst jednolity Dz. U. z 2017 r., poz.1332)</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30.         Prawo zamówień publicznych (tekst jednolity Dz. U. z 2017 r., poz. 1579)</w:t>
      </w:r>
    </w:p>
    <w:p w:rsidR="00E847A6" w:rsidRPr="007078D3" w:rsidRDefault="00E847A6" w:rsidP="00E847A6">
      <w:pPr>
        <w:ind w:left="567" w:hanging="567"/>
        <w:rPr>
          <w:rFonts w:ascii="Times New Roman" w:hAnsi="Times New Roman" w:cs="Times New Roman"/>
          <w:color w:val="000000"/>
          <w:szCs w:val="20"/>
        </w:rPr>
      </w:pPr>
      <w:r w:rsidRPr="007078D3">
        <w:rPr>
          <w:rFonts w:ascii="Times New Roman" w:hAnsi="Times New Roman" w:cs="Times New Roman"/>
          <w:color w:val="000000"/>
          <w:szCs w:val="20"/>
        </w:rPr>
        <w:t>31.         Rozporządzenie Ministra Infrastruktury z dnia17 listopada 2016 r. w sprawie krajowych ocen technicznych (Dz. U. z 2016 r., poz. 1968)</w:t>
      </w:r>
    </w:p>
    <w:p w:rsidR="00E847A6" w:rsidRPr="007078D3" w:rsidRDefault="00E847A6" w:rsidP="00E847A6">
      <w:pPr>
        <w:rPr>
          <w:rFonts w:ascii="Times New Roman" w:hAnsi="Times New Roman" w:cs="Times New Roman"/>
          <w:szCs w:val="20"/>
        </w:rPr>
      </w:pPr>
    </w:p>
    <w:p w:rsidR="00E847A6" w:rsidRPr="007078D3" w:rsidRDefault="00E847A6" w:rsidP="00E847A6">
      <w:pPr>
        <w:rPr>
          <w:rFonts w:ascii="Times New Roman" w:hAnsi="Times New Roman" w:cs="Times New Roman"/>
          <w:szCs w:val="20"/>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E847A6" w:rsidRDefault="00E847A6" w:rsidP="00E847A6">
      <w:pPr>
        <w:pStyle w:val="Bezodstpw"/>
        <w:spacing w:line="240" w:lineRule="auto"/>
        <w:rPr>
          <w:rFonts w:ascii="Times New Roman" w:hAnsi="Times New Roman" w:cs="Times New Roman"/>
          <w:sz w:val="20"/>
          <w:szCs w:val="20"/>
          <w:lang w:eastAsia="pl-PL"/>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487560" w:rsidRPr="007078D3" w:rsidRDefault="00487560" w:rsidP="00ED04E8">
      <w:pPr>
        <w:rPr>
          <w:rFonts w:ascii="Times New Roman" w:hAnsi="Times New Roman" w:cs="Times New Roman"/>
          <w:szCs w:val="20"/>
        </w:rPr>
      </w:pPr>
    </w:p>
    <w:p w:rsidR="00FD7B54" w:rsidRPr="009800B9" w:rsidRDefault="00FD7B54" w:rsidP="00FD7B54">
      <w:pPr>
        <w:pStyle w:val="Bezodstpw"/>
        <w:rPr>
          <w:rFonts w:ascii="Times New Roman" w:hAnsi="Times New Roman" w:cs="Times New Roman"/>
          <w:sz w:val="24"/>
          <w:szCs w:val="24"/>
          <w:lang w:eastAsia="pl-PL"/>
        </w:rPr>
      </w:pPr>
      <w:bookmarkStart w:id="1328" w:name="_Toc505758690"/>
      <w:bookmarkStart w:id="1329" w:name="_Toc159566051"/>
    </w:p>
    <w:p w:rsidR="00E847A6" w:rsidRDefault="00E847A6" w:rsidP="00ED04E8">
      <w:pPr>
        <w:pStyle w:val="Bezodstpw"/>
        <w:spacing w:line="240" w:lineRule="auto"/>
        <w:rPr>
          <w:rFonts w:ascii="Times New Roman" w:hAnsi="Times New Roman" w:cs="Times New Roman"/>
          <w:sz w:val="20"/>
          <w:szCs w:val="20"/>
          <w:lang w:eastAsia="pl-PL"/>
        </w:rPr>
      </w:pPr>
      <w:bookmarkStart w:id="1330" w:name="_Toc505758692"/>
      <w:bookmarkStart w:id="1331" w:name="_Toc159566053"/>
      <w:bookmarkStart w:id="1332" w:name="_Toc221170395"/>
      <w:bookmarkEnd w:id="1328"/>
      <w:bookmarkEnd w:id="1329"/>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E847A6" w:rsidRDefault="00E847A6" w:rsidP="00ED04E8">
      <w:pPr>
        <w:pStyle w:val="Bezodstpw"/>
        <w:spacing w:line="240" w:lineRule="auto"/>
        <w:rPr>
          <w:rFonts w:ascii="Times New Roman" w:hAnsi="Times New Roman" w:cs="Times New Roman"/>
          <w:sz w:val="20"/>
          <w:szCs w:val="20"/>
          <w:lang w:eastAsia="pl-PL"/>
        </w:rPr>
      </w:pPr>
    </w:p>
    <w:p w:rsidR="00A913F5" w:rsidRPr="007078D3" w:rsidRDefault="00A913F5" w:rsidP="00ED04E8">
      <w:pPr>
        <w:pStyle w:val="Bezodstpw"/>
        <w:spacing w:line="240" w:lineRule="auto"/>
        <w:rPr>
          <w:rFonts w:ascii="Times New Roman" w:hAnsi="Times New Roman" w:cs="Times New Roman"/>
          <w:sz w:val="20"/>
          <w:szCs w:val="20"/>
          <w:lang w:eastAsia="pl-PL"/>
        </w:rPr>
      </w:pPr>
      <w:r w:rsidRPr="007078D3">
        <w:rPr>
          <w:rFonts w:ascii="Times New Roman" w:hAnsi="Times New Roman" w:cs="Times New Roman"/>
          <w:sz w:val="20"/>
          <w:szCs w:val="20"/>
          <w:lang w:eastAsia="pl-PL"/>
        </w:rPr>
        <w:t>D</w:t>
      </w:r>
      <w:r w:rsidR="00A57DD5" w:rsidRPr="007078D3">
        <w:rPr>
          <w:rFonts w:ascii="Times New Roman" w:hAnsi="Times New Roman" w:cs="Times New Roman"/>
          <w:sz w:val="20"/>
          <w:szCs w:val="20"/>
          <w:lang w:eastAsia="pl-PL"/>
        </w:rPr>
        <w:t>-</w:t>
      </w:r>
      <w:r w:rsidRPr="007078D3">
        <w:rPr>
          <w:rFonts w:ascii="Times New Roman" w:hAnsi="Times New Roman" w:cs="Times New Roman"/>
          <w:sz w:val="20"/>
          <w:szCs w:val="20"/>
          <w:lang w:eastAsia="pl-PL"/>
        </w:rPr>
        <w:t>08.01.01b USTAWIENIE  KRAWĘŻNIKÓW  BETONOWYCH</w:t>
      </w:r>
      <w:bookmarkEnd w:id="1330"/>
      <w:bookmarkEnd w:id="1331"/>
      <w:bookmarkEnd w:id="1332"/>
    </w:p>
    <w:p w:rsidR="00A913F5" w:rsidRPr="007078D3" w:rsidRDefault="00A913F5" w:rsidP="00ED04E8">
      <w:pPr>
        <w:pStyle w:val="Bezodstpw"/>
        <w:spacing w:line="240" w:lineRule="auto"/>
        <w:rPr>
          <w:rFonts w:ascii="Times New Roman" w:hAnsi="Times New Roman" w:cs="Times New Roman"/>
          <w:sz w:val="20"/>
          <w:szCs w:val="20"/>
          <w:lang w:eastAsia="pl-PL"/>
        </w:rPr>
      </w:pPr>
    </w:p>
    <w:p w:rsidR="00A913F5" w:rsidRPr="007078D3" w:rsidRDefault="00A913F5" w:rsidP="00ED04E8">
      <w:pPr>
        <w:rPr>
          <w:rFonts w:ascii="Times New Roman" w:hAnsi="Times New Roman" w:cs="Times New Roman"/>
          <w:szCs w:val="20"/>
        </w:rPr>
      </w:pPr>
      <w:bookmarkStart w:id="1333" w:name="_Toc200956360"/>
      <w:r w:rsidRPr="007078D3">
        <w:rPr>
          <w:rFonts w:ascii="Times New Roman" w:hAnsi="Times New Roman" w:cs="Times New Roman"/>
          <w:szCs w:val="20"/>
        </w:rPr>
        <w:t>1. WSTĘP</w:t>
      </w:r>
      <w:bookmarkEnd w:id="1333"/>
    </w:p>
    <w:p w:rsidR="00A57DD5" w:rsidRPr="007078D3" w:rsidRDefault="00A57DD5"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1.1. Przedmiot </w:t>
      </w:r>
      <w:r w:rsidR="00855643" w:rsidRPr="007078D3">
        <w:rPr>
          <w:rFonts w:ascii="Times New Roman" w:hAnsi="Times New Roman" w:cs="Times New Roman"/>
          <w:szCs w:val="20"/>
        </w:rPr>
        <w:t>SST</w:t>
      </w:r>
    </w:p>
    <w:p w:rsidR="00A57DD5" w:rsidRPr="007078D3" w:rsidRDefault="00A57DD5"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ab/>
      </w:r>
      <w:r w:rsidRPr="007078D3">
        <w:rPr>
          <w:rFonts w:ascii="Times New Roman" w:hAnsi="Times New Roman" w:cs="Times New Roman"/>
          <w:szCs w:val="20"/>
        </w:rPr>
        <w:t>Przedmiotem niniejszej ogólnej specyfikacji technicznej (</w:t>
      </w:r>
      <w:r w:rsidR="00855643" w:rsidRPr="007078D3">
        <w:rPr>
          <w:rFonts w:ascii="Times New Roman" w:hAnsi="Times New Roman" w:cs="Times New Roman"/>
          <w:szCs w:val="20"/>
        </w:rPr>
        <w:t>SST</w:t>
      </w:r>
      <w:r w:rsidRPr="007078D3">
        <w:rPr>
          <w:rFonts w:ascii="Times New Roman" w:hAnsi="Times New Roman" w:cs="Times New Roman"/>
          <w:szCs w:val="20"/>
        </w:rPr>
        <w:t>) są wymagania dotyczące wykonania i odbioru robót związanych z ustawieniem krawężników betonowych wraz z wykonaniem ław.</w:t>
      </w:r>
    </w:p>
    <w:p w:rsidR="00A57DD5" w:rsidRPr="007078D3" w:rsidRDefault="00A57DD5"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1.2. Zakres stosowania </w:t>
      </w:r>
      <w:r w:rsidR="00855643" w:rsidRPr="007078D3">
        <w:rPr>
          <w:rFonts w:ascii="Times New Roman" w:hAnsi="Times New Roman" w:cs="Times New Roman"/>
          <w:szCs w:val="20"/>
        </w:rPr>
        <w:t>SST</w:t>
      </w:r>
    </w:p>
    <w:p w:rsidR="00A57DD5" w:rsidRPr="007078D3" w:rsidRDefault="00A57DD5" w:rsidP="00ED04E8">
      <w:pPr>
        <w:rPr>
          <w:rFonts w:ascii="Times New Roman" w:hAnsi="Times New Roman" w:cs="Times New Roman"/>
          <w:szCs w:val="20"/>
        </w:rPr>
      </w:pPr>
    </w:p>
    <w:p w:rsidR="00A57DD5" w:rsidRPr="007078D3" w:rsidRDefault="00A57DD5" w:rsidP="00ED04E8">
      <w:pPr>
        <w:rPr>
          <w:rFonts w:ascii="Times New Roman" w:hAnsi="Times New Roman" w:cs="Times New Roman"/>
          <w:szCs w:val="20"/>
        </w:rPr>
      </w:pPr>
      <w:r w:rsidRPr="007078D3">
        <w:rPr>
          <w:rFonts w:ascii="Times New Roman" w:hAnsi="Times New Roman" w:cs="Times New Roman"/>
          <w:szCs w:val="20"/>
        </w:rPr>
        <w:t>Szczegółowa specyfikacja techniczna dotyczy robót wyszczególnionych w punkcie 1.3.</w:t>
      </w:r>
    </w:p>
    <w:p w:rsidR="00A57DD5" w:rsidRPr="007078D3" w:rsidRDefault="00A57DD5"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1.3. Zakres robót objętych </w:t>
      </w:r>
      <w:r w:rsidR="00855643" w:rsidRPr="007078D3">
        <w:rPr>
          <w:rFonts w:ascii="Times New Roman" w:hAnsi="Times New Roman" w:cs="Times New Roman"/>
          <w:szCs w:val="20"/>
        </w:rPr>
        <w:t>SST</w:t>
      </w:r>
    </w:p>
    <w:p w:rsidR="00A57DD5" w:rsidRPr="007078D3" w:rsidRDefault="00A57DD5"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ab/>
      </w:r>
      <w:r w:rsidRPr="007078D3">
        <w:rPr>
          <w:rFonts w:ascii="Times New Roman" w:hAnsi="Times New Roman" w:cs="Times New Roman"/>
          <w:szCs w:val="20"/>
        </w:rPr>
        <w:t>Ustalenia zawarte w niniejszej specyfikacji dotyczą zasad prowadzenia robót związanych z wykonaniem i odbiorem ustawienia krawężników betonowych typu ulicznego i typu drogowego (wtopionych) na ławach betonowych, żwirowych, tłuczniowych.</w:t>
      </w:r>
    </w:p>
    <w:p w:rsidR="00A57DD5" w:rsidRPr="007078D3" w:rsidRDefault="00A57DD5" w:rsidP="00ED04E8">
      <w:pPr>
        <w:rPr>
          <w:rFonts w:ascii="Times New Roman" w:hAnsi="Times New Roman" w:cs="Times New Roman"/>
          <w:szCs w:val="20"/>
        </w:rPr>
      </w:pPr>
    </w:p>
    <w:p w:rsidR="007D7DA5" w:rsidRPr="007078D3" w:rsidRDefault="007D7DA5" w:rsidP="00ED04E8">
      <w:pPr>
        <w:pStyle w:val="Nagwek2"/>
        <w:spacing w:before="0" w:beforeAutospacing="0" w:after="0" w:afterAutospacing="0"/>
        <w:jc w:val="both"/>
        <w:rPr>
          <w:rFonts w:ascii="Times New Roman" w:hAnsi="Times New Roman"/>
          <w:color w:val="000000"/>
          <w:szCs w:val="20"/>
        </w:rPr>
      </w:pPr>
      <w:bookmarkStart w:id="1334" w:name="_Toc200956370"/>
      <w:r w:rsidRPr="007078D3">
        <w:rPr>
          <w:rFonts w:ascii="Times New Roman" w:hAnsi="Times New Roman"/>
          <w:color w:val="000000"/>
          <w:szCs w:val="20"/>
        </w:rPr>
        <w:t>1.4. Określenia podstawowe</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1.4.1. </w:t>
      </w:r>
      <w:r w:rsidRPr="007078D3">
        <w:rPr>
          <w:rFonts w:ascii="Times New Roman" w:hAnsi="Times New Roman" w:cs="Times New Roman"/>
          <w:color w:val="000000"/>
          <w:szCs w:val="20"/>
        </w:rPr>
        <w:t>Krawężnik betonowy – prefabrykat betonowy, przeznaczony do oddzielenia powierzchni znajdujących się na tym samym poziomie lub na różnych poziomach stosowany: a) w celu ograniczania lub wyznaczania granicy rzeczywistej lub wizualnej, b) jako kanały odpływowe, oddzielnie lub w połączeniu z innymi krawężnikami, c) jako oddzielenie pomiędzy powierzchniami poddanymi różnym rodzajom ruchu drogowego.</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1.4.2. </w:t>
      </w:r>
      <w:r w:rsidRPr="007078D3">
        <w:rPr>
          <w:rFonts w:ascii="Times New Roman" w:hAnsi="Times New Roman" w:cs="Times New Roman"/>
          <w:color w:val="000000"/>
          <w:szCs w:val="20"/>
        </w:rPr>
        <w:t>Wymiar nominalny – wymiar krawężnika określony w celu jego wykonania, któremu powinien odpowiadać wymiar rzeczywisty w określonych granicach dopuszczalnych odchyłek.</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1.4.3. </w:t>
      </w:r>
      <w:r w:rsidRPr="007078D3">
        <w:rPr>
          <w:rFonts w:ascii="Times New Roman" w:hAnsi="Times New Roman" w:cs="Times New Roman"/>
          <w:color w:val="000000"/>
          <w:szCs w:val="20"/>
        </w:rPr>
        <w:t xml:space="preserve">Pozostałe określenia podstawowe są zgodne z obowiązującymi, odpowiednimi polskimi normami i z definicjami podanymi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ogólne”[1] pkt 1.4.</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1.5. Ogólne wymagania dotyczące robót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1.5.</w:t>
      </w:r>
    </w:p>
    <w:p w:rsidR="007D7DA5" w:rsidRPr="007078D3" w:rsidRDefault="007D7DA5" w:rsidP="00ED04E8">
      <w:pPr>
        <w:pStyle w:val="Nagwek1"/>
        <w:spacing w:before="0" w:beforeAutospacing="0" w:after="0" w:afterAutospacing="0"/>
        <w:jc w:val="both"/>
        <w:rPr>
          <w:rFonts w:ascii="Times New Roman" w:hAnsi="Times New Roman"/>
          <w:caps/>
          <w:color w:val="000000"/>
          <w:szCs w:val="20"/>
        </w:rPr>
      </w:pPr>
      <w:bookmarkStart w:id="1335" w:name="_Toc2587773"/>
      <w:r w:rsidRPr="007078D3">
        <w:rPr>
          <w:rFonts w:ascii="Times New Roman" w:hAnsi="Times New Roman"/>
          <w:caps/>
          <w:color w:val="000000"/>
          <w:szCs w:val="20"/>
        </w:rPr>
        <w:t>2. MATERIAŁY</w:t>
      </w:r>
      <w:bookmarkEnd w:id="1335"/>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2.1. Ogólne wymagania dotyczące materiałów</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materiałów, ich pozyskiwania i składowania,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2.</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2.2. Materiały do wykonania robót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2.2.1. </w:t>
      </w:r>
      <w:r w:rsidRPr="007078D3">
        <w:rPr>
          <w:rFonts w:ascii="Times New Roman" w:hAnsi="Times New Roman" w:cs="Times New Roman"/>
          <w:color w:val="000000"/>
          <w:szCs w:val="20"/>
        </w:rPr>
        <w:t>Zgodność materiałów z dokumentacją projektową</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Materiały do wykonania robót powinny być zgodne z ustaleniami dokumentacji projektowej lub ST.</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Można stosować jedynie materiały dopuszczone do stosowania na podstawie ustawy o wyrobach budowlanych [11], dla których Wykonawca przedstawi deklarację właściwości użytkowych wydaną przez producenta potwierdzającą przydatność materiału do zastosowania wynikającego z dokumentacji projektowej i ST.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2.2.2. </w:t>
      </w:r>
      <w:r w:rsidRPr="007078D3">
        <w:rPr>
          <w:rFonts w:ascii="Times New Roman" w:hAnsi="Times New Roman" w:cs="Times New Roman"/>
          <w:color w:val="000000"/>
          <w:szCs w:val="20"/>
        </w:rPr>
        <w:t>Stosowane materiały</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Przy ustawianiu krawężników na ławach można stosować następujące materiały:</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krawężniki betonowe,</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piasek na podsypkę i do zapraw,</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cement do podsypki i do zapraw,</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wodę,</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materiały do wykonania ławy.</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2.2.3. </w:t>
      </w:r>
      <w:r w:rsidRPr="007078D3">
        <w:rPr>
          <w:rFonts w:ascii="Times New Roman" w:hAnsi="Times New Roman" w:cs="Times New Roman"/>
          <w:color w:val="000000"/>
          <w:szCs w:val="20"/>
        </w:rPr>
        <w:t>Krawężniki betonowe</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2.2.3.1. Wymagania ogólne wobec krawężników</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Krawężniki betonowe mogą mieć następujące cechy charakterystyczne:</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krawężnik może być produkowany:</w:t>
      </w:r>
    </w:p>
    <w:p w:rsidR="007D7DA5" w:rsidRPr="007078D3" w:rsidRDefault="007D7DA5" w:rsidP="00ED04E8">
      <w:pPr>
        <w:ind w:left="964" w:hanging="680"/>
        <w:rPr>
          <w:rFonts w:ascii="Times New Roman" w:hAnsi="Times New Roman" w:cs="Times New Roman"/>
          <w:color w:val="000000"/>
          <w:szCs w:val="20"/>
        </w:rPr>
      </w:pPr>
      <w:r w:rsidRPr="007078D3">
        <w:rPr>
          <w:rFonts w:ascii="Times New Roman" w:hAnsi="Times New Roman" w:cs="Times New Roman"/>
          <w:color w:val="000000"/>
          <w:szCs w:val="20"/>
        </w:rPr>
        <w:t>a)    z jednego rodzaju betonu,</w:t>
      </w:r>
    </w:p>
    <w:p w:rsidR="007D7DA5" w:rsidRPr="007078D3" w:rsidRDefault="007D7DA5" w:rsidP="00ED04E8">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b)   z różnych betonów zastosowanych w warstwie konstrukcyjnej oraz w warstwie ścieralnej (która na całej powierzchni deklarowanej przez producenta jako powierzchnia widoczna powinna mieć minimalną grubość 4 mm),</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skośne krawędzie krawężnika powyżej 2 mm powinny być określone jako fazowane, z wymiarami deklarowanymi przez producenta,</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krawężnik może mieć profile funkcjonalne i/lub dekoracyjne (których nie uwzględnia się przy określaniu wymiarów nominalnych krawężnika); zalecana długość prostego odcinka krawężnika wraz ze złączem wynosi 1000 mm,</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powierzchnia krawężnika może być obrabiana, poddana dodatkowej obróbce lub obróbce chemicznej,</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płaszczyzny czołowe krawężników mogą być proste lub ukształtowane w sposób ułatwiający układanie lub ryglowanie (przykłady w zał. 1),</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krawężniki łukowe mogą być wykonane jako wypukłe lub wklęsłe (przykłady w zał. 2),</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lastRenderedPageBreak/>
        <w:t>–      rozróżnia się dwa typy krawężników (przykłady w zał. 3):</w:t>
      </w:r>
    </w:p>
    <w:p w:rsidR="007D7DA5" w:rsidRPr="007078D3" w:rsidRDefault="007D7DA5" w:rsidP="00ED04E8">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a)    uliczne, do oddzielenia powierzchni znajdujących się na różnych poziomach (np. jezdni i chodnika),</w:t>
      </w:r>
    </w:p>
    <w:p w:rsidR="007D7DA5" w:rsidRPr="007078D3" w:rsidRDefault="007D7DA5" w:rsidP="00ED04E8">
      <w:pPr>
        <w:ind w:left="567" w:hanging="283"/>
        <w:rPr>
          <w:rFonts w:ascii="Times New Roman" w:hAnsi="Times New Roman" w:cs="Times New Roman"/>
          <w:color w:val="000000"/>
          <w:szCs w:val="20"/>
        </w:rPr>
      </w:pPr>
      <w:r w:rsidRPr="007078D3">
        <w:rPr>
          <w:rFonts w:ascii="Times New Roman" w:hAnsi="Times New Roman" w:cs="Times New Roman"/>
          <w:color w:val="000000"/>
          <w:szCs w:val="20"/>
        </w:rPr>
        <w:t>b)   drogowe, do oddzielenia powierzchni znajdujących się na tym samym poziomie (np. jezdni i pobocza).</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2.2.3.2. Wymagania techniczne wobec krawężników</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Wymagania techniczne stawiane krawężnikom betonowym określa PN-EN 1340 [3] w sposób przedstawiony w tabeli 1.</w:t>
      </w:r>
    </w:p>
    <w:p w:rsidR="007D7DA5" w:rsidRPr="007078D3" w:rsidRDefault="007D7DA5" w:rsidP="00ED04E8">
      <w:pPr>
        <w:pStyle w:val="Legenda"/>
        <w:spacing w:before="0" w:beforeAutospacing="0" w:after="0" w:afterAutospacing="0"/>
        <w:ind w:left="993" w:hanging="993"/>
        <w:jc w:val="both"/>
        <w:rPr>
          <w:color w:val="000000"/>
          <w:sz w:val="20"/>
          <w:szCs w:val="20"/>
        </w:rPr>
      </w:pPr>
      <w:r w:rsidRPr="007078D3">
        <w:rPr>
          <w:color w:val="000000"/>
          <w:sz w:val="20"/>
          <w:szCs w:val="20"/>
        </w:rPr>
        <w:t>Tabela 1.  Wymagania wobec krawężnika betonowego, ustalone w PN-EN 1340 [3] do stosowania w warunkach kontaktu z solą odladzającą w warunkach mrozu</w:t>
      </w:r>
    </w:p>
    <w:tbl>
      <w:tblPr>
        <w:tblW w:w="8903" w:type="dxa"/>
        <w:shd w:val="clear" w:color="auto" w:fill="EAEAEA"/>
        <w:tblCellMar>
          <w:left w:w="0" w:type="dxa"/>
          <w:right w:w="0" w:type="dxa"/>
        </w:tblCellMar>
        <w:tblLook w:val="04A0"/>
      </w:tblPr>
      <w:tblGrid>
        <w:gridCol w:w="586"/>
        <w:gridCol w:w="3379"/>
        <w:gridCol w:w="20"/>
        <w:gridCol w:w="15"/>
        <w:gridCol w:w="1230"/>
        <w:gridCol w:w="16"/>
        <w:gridCol w:w="17"/>
        <w:gridCol w:w="18"/>
        <w:gridCol w:w="810"/>
        <w:gridCol w:w="30"/>
        <w:gridCol w:w="15"/>
        <w:gridCol w:w="30"/>
        <w:gridCol w:w="30"/>
        <w:gridCol w:w="735"/>
        <w:gridCol w:w="30"/>
        <w:gridCol w:w="261"/>
        <w:gridCol w:w="30"/>
        <w:gridCol w:w="45"/>
        <w:gridCol w:w="30"/>
        <w:gridCol w:w="570"/>
        <w:gridCol w:w="30"/>
        <w:gridCol w:w="976"/>
      </w:tblGrid>
      <w:tr w:rsidR="007D7DA5" w:rsidRPr="007078D3" w:rsidTr="007D7DA5">
        <w:tc>
          <w:tcPr>
            <w:tcW w:w="586" w:type="dxa"/>
            <w:tcBorders>
              <w:top w:val="single" w:sz="8" w:space="0" w:color="auto"/>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Lp.</w:t>
            </w:r>
          </w:p>
        </w:tc>
        <w:tc>
          <w:tcPr>
            <w:tcW w:w="3379" w:type="dxa"/>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Cecha</w:t>
            </w:r>
          </w:p>
        </w:tc>
        <w:tc>
          <w:tcPr>
            <w:tcW w:w="1281" w:type="dxa"/>
            <w:gridSpan w:val="4"/>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Załącznik</w:t>
            </w:r>
          </w:p>
        </w:tc>
        <w:tc>
          <w:tcPr>
            <w:tcW w:w="3622" w:type="dxa"/>
            <w:gridSpan w:val="16"/>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Wymagania</w:t>
            </w:r>
          </w:p>
        </w:tc>
      </w:tr>
      <w:tr w:rsidR="007D7DA5" w:rsidRPr="007078D3" w:rsidTr="007D7DA5">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8282" w:type="dxa"/>
            <w:gridSpan w:val="21"/>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Kształt i wymiary</w:t>
            </w:r>
          </w:p>
        </w:tc>
      </w:tr>
      <w:tr w:rsidR="007D7DA5" w:rsidRPr="007078D3" w:rsidTr="007D7DA5">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1.1</w:t>
            </w:r>
          </w:p>
        </w:tc>
        <w:tc>
          <w:tcPr>
            <w:tcW w:w="337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Wartości dopuszczalnych od-chyłek od wymiarów nomi-nalnych, z dokładnością do milimetra</w:t>
            </w:r>
          </w:p>
        </w:tc>
        <w:tc>
          <w:tcPr>
            <w:tcW w:w="1281"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C</w:t>
            </w:r>
          </w:p>
        </w:tc>
        <w:tc>
          <w:tcPr>
            <w:tcW w:w="3622" w:type="dxa"/>
            <w:gridSpan w:val="1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Długość: ± 1%, ≥ 4 mm i ≤ 10 mm</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Inne wymiary z wyjątkiem promienia:</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 dla powierzchni: ± 3%, ≥ 3 mm,</w:t>
            </w:r>
          </w:p>
          <w:p w:rsidR="007D7DA5" w:rsidRPr="00EF535A" w:rsidRDefault="007D7DA5" w:rsidP="00ED04E8">
            <w:pPr>
              <w:ind w:left="246"/>
              <w:rPr>
                <w:rFonts w:ascii="Times New Roman" w:hAnsi="Times New Roman" w:cs="Times New Roman"/>
                <w:sz w:val="18"/>
                <w:szCs w:val="18"/>
              </w:rPr>
            </w:pPr>
            <w:r w:rsidRPr="00EF535A">
              <w:rPr>
                <w:rFonts w:ascii="Times New Roman" w:hAnsi="Times New Roman" w:cs="Times New Roman"/>
                <w:sz w:val="18"/>
                <w:szCs w:val="18"/>
              </w:rPr>
              <w:t>≤ 5 mm,</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 dla innych części: ± 5%, ≥ 3 mm, </w:t>
            </w:r>
          </w:p>
          <w:p w:rsidR="007D7DA5" w:rsidRPr="00EF535A" w:rsidRDefault="007D7DA5" w:rsidP="00ED04E8">
            <w:pPr>
              <w:ind w:firstLine="246"/>
              <w:rPr>
                <w:rFonts w:ascii="Times New Roman" w:hAnsi="Times New Roman" w:cs="Times New Roman"/>
                <w:sz w:val="18"/>
                <w:szCs w:val="18"/>
              </w:rPr>
            </w:pPr>
            <w:r w:rsidRPr="00EF535A">
              <w:rPr>
                <w:rFonts w:ascii="Times New Roman" w:hAnsi="Times New Roman" w:cs="Times New Roman"/>
                <w:sz w:val="18"/>
                <w:szCs w:val="18"/>
              </w:rPr>
              <w:t>≤ 10 mm</w:t>
            </w:r>
          </w:p>
        </w:tc>
      </w:tr>
      <w:tr w:rsidR="007D7DA5" w:rsidRPr="007078D3" w:rsidTr="007D7DA5">
        <w:trPr>
          <w:trHeight w:val="825"/>
        </w:trPr>
        <w:tc>
          <w:tcPr>
            <w:tcW w:w="586" w:type="dxa"/>
            <w:vMerge w:val="restart"/>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right"/>
              <w:rPr>
                <w:rFonts w:ascii="Times New Roman" w:hAnsi="Times New Roman" w:cs="Times New Roman"/>
                <w:sz w:val="18"/>
                <w:szCs w:val="18"/>
              </w:rPr>
            </w:pPr>
            <w:r w:rsidRPr="00EF535A">
              <w:rPr>
                <w:rFonts w:ascii="Times New Roman" w:hAnsi="Times New Roman" w:cs="Times New Roman"/>
                <w:sz w:val="18"/>
                <w:szCs w:val="18"/>
              </w:rPr>
              <w:t>1.2</w:t>
            </w:r>
          </w:p>
        </w:tc>
        <w:tc>
          <w:tcPr>
            <w:tcW w:w="3379" w:type="dxa"/>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Dopuszczalne odchyłki od płaskości i prostoliniowości, dla długości pomiarowej</w:t>
            </w:r>
          </w:p>
        </w:tc>
        <w:tc>
          <w:tcPr>
            <w:tcW w:w="1281" w:type="dxa"/>
            <w:gridSpan w:val="4"/>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C</w:t>
            </w:r>
          </w:p>
        </w:tc>
        <w:tc>
          <w:tcPr>
            <w:tcW w:w="3622" w:type="dxa"/>
            <w:gridSpan w:val="16"/>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 </w:t>
            </w:r>
          </w:p>
        </w:tc>
      </w:tr>
      <w:tr w:rsidR="007D7DA5" w:rsidRPr="007078D3" w:rsidTr="007D7DA5">
        <w:trPr>
          <w:trHeight w:val="279"/>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3379" w:type="dxa"/>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right"/>
              <w:rPr>
                <w:rFonts w:ascii="Times New Roman" w:hAnsi="Times New Roman" w:cs="Times New Roman"/>
                <w:sz w:val="18"/>
                <w:szCs w:val="18"/>
              </w:rPr>
            </w:pPr>
            <w:r w:rsidRPr="00EF535A">
              <w:rPr>
                <w:rFonts w:ascii="Times New Roman" w:hAnsi="Times New Roman" w:cs="Times New Roman"/>
                <w:sz w:val="18"/>
                <w:szCs w:val="18"/>
              </w:rPr>
              <w:t>300 mm</w:t>
            </w:r>
          </w:p>
        </w:tc>
        <w:tc>
          <w:tcPr>
            <w:tcW w:w="1281" w:type="dxa"/>
            <w:gridSpan w:val="4"/>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622" w:type="dxa"/>
            <w:gridSpan w:val="16"/>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 1,5 mm</w:t>
            </w:r>
          </w:p>
        </w:tc>
      </w:tr>
      <w:tr w:rsidR="007D7DA5" w:rsidRPr="007078D3" w:rsidTr="007D7DA5">
        <w:trPr>
          <w:trHeight w:val="249"/>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3379" w:type="dxa"/>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right"/>
              <w:rPr>
                <w:rFonts w:ascii="Times New Roman" w:hAnsi="Times New Roman" w:cs="Times New Roman"/>
                <w:sz w:val="18"/>
                <w:szCs w:val="18"/>
              </w:rPr>
            </w:pPr>
            <w:r w:rsidRPr="00EF535A">
              <w:rPr>
                <w:rFonts w:ascii="Times New Roman" w:hAnsi="Times New Roman" w:cs="Times New Roman"/>
                <w:sz w:val="18"/>
                <w:szCs w:val="18"/>
              </w:rPr>
              <w:t>400 mm</w:t>
            </w:r>
          </w:p>
        </w:tc>
        <w:tc>
          <w:tcPr>
            <w:tcW w:w="1281" w:type="dxa"/>
            <w:gridSpan w:val="4"/>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622" w:type="dxa"/>
            <w:gridSpan w:val="16"/>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 2,0 mm</w:t>
            </w:r>
          </w:p>
        </w:tc>
      </w:tr>
      <w:tr w:rsidR="007D7DA5" w:rsidRPr="007078D3" w:rsidTr="007D7DA5">
        <w:trPr>
          <w:trHeight w:val="339"/>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3379" w:type="dxa"/>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right"/>
              <w:rPr>
                <w:rFonts w:ascii="Times New Roman" w:hAnsi="Times New Roman" w:cs="Times New Roman"/>
                <w:sz w:val="18"/>
                <w:szCs w:val="18"/>
              </w:rPr>
            </w:pPr>
            <w:r w:rsidRPr="00EF535A">
              <w:rPr>
                <w:rFonts w:ascii="Times New Roman" w:hAnsi="Times New Roman" w:cs="Times New Roman"/>
                <w:sz w:val="18"/>
                <w:szCs w:val="18"/>
              </w:rPr>
              <w:t>500 mm</w:t>
            </w:r>
          </w:p>
        </w:tc>
        <w:tc>
          <w:tcPr>
            <w:tcW w:w="1281" w:type="dxa"/>
            <w:gridSpan w:val="4"/>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622" w:type="dxa"/>
            <w:gridSpan w:val="16"/>
            <w:tcBorders>
              <w:top w:val="nil"/>
              <w:left w:val="nil"/>
              <w:bottom w:val="nil"/>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 2,5 mm</w:t>
            </w:r>
          </w:p>
        </w:tc>
      </w:tr>
      <w:tr w:rsidR="007D7DA5" w:rsidRPr="007078D3" w:rsidTr="007D7DA5">
        <w:trPr>
          <w:trHeight w:val="317"/>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337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right"/>
              <w:rPr>
                <w:rFonts w:ascii="Times New Roman" w:hAnsi="Times New Roman" w:cs="Times New Roman"/>
                <w:sz w:val="18"/>
                <w:szCs w:val="18"/>
              </w:rPr>
            </w:pPr>
            <w:r w:rsidRPr="00EF535A">
              <w:rPr>
                <w:rFonts w:ascii="Times New Roman" w:hAnsi="Times New Roman" w:cs="Times New Roman"/>
                <w:sz w:val="18"/>
                <w:szCs w:val="18"/>
              </w:rPr>
              <w:t>800 mm</w:t>
            </w:r>
          </w:p>
        </w:tc>
        <w:tc>
          <w:tcPr>
            <w:tcW w:w="1281"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 </w:t>
            </w:r>
          </w:p>
        </w:tc>
        <w:tc>
          <w:tcPr>
            <w:tcW w:w="3622" w:type="dxa"/>
            <w:gridSpan w:val="1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 4,0 mm</w:t>
            </w:r>
          </w:p>
        </w:tc>
      </w:tr>
      <w:tr w:rsidR="007D7DA5" w:rsidRPr="007078D3" w:rsidTr="007D7DA5">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8282" w:type="dxa"/>
            <w:gridSpan w:val="21"/>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Właściwości fizyczne i mechaniczne</w:t>
            </w:r>
          </w:p>
        </w:tc>
      </w:tr>
      <w:tr w:rsidR="007D7DA5" w:rsidRPr="007078D3" w:rsidTr="007D7DA5">
        <w:trPr>
          <w:trHeight w:val="510"/>
        </w:trPr>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2.1</w:t>
            </w:r>
          </w:p>
        </w:tc>
        <w:tc>
          <w:tcPr>
            <w:tcW w:w="337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Odporność na zamrażanie/</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rozmrażanie z udziałem soli odladzających</w:t>
            </w:r>
          </w:p>
        </w:tc>
        <w:tc>
          <w:tcPr>
            <w:tcW w:w="1263" w:type="dxa"/>
            <w:gridSpan w:val="3"/>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D</w:t>
            </w:r>
          </w:p>
        </w:tc>
        <w:tc>
          <w:tcPr>
            <w:tcW w:w="3640" w:type="dxa"/>
            <w:gridSpan w:val="1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Ubytek masy po badaniu: wartość średnia ≤ 1,0 kg/m</w:t>
            </w:r>
            <w:r w:rsidRPr="00EF535A">
              <w:rPr>
                <w:rFonts w:ascii="Times New Roman" w:hAnsi="Times New Roman" w:cs="Times New Roman"/>
                <w:sz w:val="18"/>
                <w:szCs w:val="18"/>
                <w:vertAlign w:val="superscript"/>
              </w:rPr>
              <w:t>2</w:t>
            </w:r>
            <w:r w:rsidRPr="00EF535A">
              <w:rPr>
                <w:rFonts w:ascii="Times New Roman" w:hAnsi="Times New Roman" w:cs="Times New Roman"/>
                <w:sz w:val="18"/>
                <w:szCs w:val="18"/>
              </w:rPr>
              <w:t>, przy czym każdy pojedynczy wynik &lt; 1,5 kg/m</w:t>
            </w:r>
            <w:r w:rsidRPr="00EF535A">
              <w:rPr>
                <w:rFonts w:ascii="Times New Roman" w:hAnsi="Times New Roman" w:cs="Times New Roman"/>
                <w:sz w:val="18"/>
                <w:szCs w:val="18"/>
                <w:vertAlign w:val="superscript"/>
              </w:rPr>
              <w:t>2</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(klasa 3, oznaczenie D)</w:t>
            </w:r>
          </w:p>
        </w:tc>
      </w:tr>
      <w:tr w:rsidR="007D7DA5" w:rsidRPr="007078D3" w:rsidTr="007D7DA5">
        <w:trPr>
          <w:trHeight w:val="195"/>
        </w:trPr>
        <w:tc>
          <w:tcPr>
            <w:tcW w:w="586" w:type="dxa"/>
            <w:vMerge w:val="restart"/>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2.2</w:t>
            </w:r>
          </w:p>
        </w:tc>
        <w:tc>
          <w:tcPr>
            <w:tcW w:w="3379" w:type="dxa"/>
            <w:vMerge w:val="restart"/>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Nasiąkliwość**</w:t>
            </w:r>
          </w:p>
        </w:tc>
        <w:tc>
          <w:tcPr>
            <w:tcW w:w="1263" w:type="dxa"/>
            <w:gridSpan w:val="3"/>
            <w:vMerge w:val="restart"/>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E</w:t>
            </w:r>
          </w:p>
        </w:tc>
        <w:tc>
          <w:tcPr>
            <w:tcW w:w="903"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Klasa</w:t>
            </w:r>
          </w:p>
        </w:tc>
        <w:tc>
          <w:tcPr>
            <w:tcW w:w="1161" w:type="dxa"/>
            <w:gridSpan w:val="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Oznacze-nie</w:t>
            </w:r>
          </w:p>
        </w:tc>
        <w:tc>
          <w:tcPr>
            <w:tcW w:w="1576"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Nasiąkli-wość </w:t>
            </w:r>
          </w:p>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 masy</w:t>
            </w:r>
          </w:p>
        </w:tc>
      </w:tr>
      <w:tr w:rsidR="007D7DA5" w:rsidRPr="007078D3" w:rsidTr="007D7DA5">
        <w:trPr>
          <w:trHeight w:val="158"/>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3"/>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903"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1161" w:type="dxa"/>
            <w:gridSpan w:val="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A</w:t>
            </w:r>
          </w:p>
        </w:tc>
        <w:tc>
          <w:tcPr>
            <w:tcW w:w="1576"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nie określa się</w:t>
            </w:r>
          </w:p>
        </w:tc>
      </w:tr>
      <w:tr w:rsidR="007D7DA5" w:rsidRPr="007078D3" w:rsidTr="007D7DA5">
        <w:trPr>
          <w:trHeight w:val="203"/>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3"/>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903"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1161" w:type="dxa"/>
            <w:gridSpan w:val="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B</w:t>
            </w:r>
          </w:p>
        </w:tc>
        <w:tc>
          <w:tcPr>
            <w:tcW w:w="1576"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 6</w:t>
            </w:r>
          </w:p>
        </w:tc>
      </w:tr>
      <w:tr w:rsidR="007D7DA5" w:rsidRPr="007078D3" w:rsidTr="007D7DA5">
        <w:trPr>
          <w:trHeight w:val="390"/>
        </w:trPr>
        <w:tc>
          <w:tcPr>
            <w:tcW w:w="586" w:type="dxa"/>
            <w:vMerge w:val="restart"/>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2.3</w:t>
            </w:r>
          </w:p>
        </w:tc>
        <w:tc>
          <w:tcPr>
            <w:tcW w:w="3379" w:type="dxa"/>
            <w:vMerge w:val="restart"/>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Wytrzymałość na zginanie (Klasa wytrzymałości ustalona w dokumentacji projektowej lub przez Inżyniera)</w:t>
            </w:r>
          </w:p>
        </w:tc>
        <w:tc>
          <w:tcPr>
            <w:tcW w:w="1263" w:type="dxa"/>
            <w:gridSpan w:val="3"/>
            <w:vMerge w:val="restart"/>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F</w:t>
            </w:r>
          </w:p>
        </w:tc>
        <w:tc>
          <w:tcPr>
            <w:tcW w:w="858"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Klasa</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wytrz.</w:t>
            </w:r>
          </w:p>
        </w:tc>
        <w:tc>
          <w:tcPr>
            <w:tcW w:w="840" w:type="dxa"/>
            <w:gridSpan w:val="5"/>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Ozna-czenie</w:t>
            </w:r>
          </w:p>
        </w:tc>
        <w:tc>
          <w:tcPr>
            <w:tcW w:w="966"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ind w:left="35"/>
              <w:rPr>
                <w:rFonts w:ascii="Times New Roman" w:hAnsi="Times New Roman" w:cs="Times New Roman"/>
                <w:sz w:val="18"/>
                <w:szCs w:val="18"/>
              </w:rPr>
            </w:pPr>
            <w:r w:rsidRPr="00EF535A">
              <w:rPr>
                <w:rFonts w:ascii="Times New Roman" w:hAnsi="Times New Roman" w:cs="Times New Roman"/>
                <w:sz w:val="18"/>
                <w:szCs w:val="18"/>
              </w:rPr>
              <w:t>Charak-terysty-czna wytrzy-małość, MPa</w:t>
            </w:r>
          </w:p>
        </w:tc>
        <w:tc>
          <w:tcPr>
            <w:tcW w:w="976" w:type="dxa"/>
            <w:gridSpan w:val="2"/>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ind w:left="20"/>
              <w:rPr>
                <w:rFonts w:ascii="Times New Roman" w:hAnsi="Times New Roman" w:cs="Times New Roman"/>
                <w:sz w:val="18"/>
                <w:szCs w:val="18"/>
              </w:rPr>
            </w:pPr>
            <w:r w:rsidRPr="00EF535A">
              <w:rPr>
                <w:rFonts w:ascii="Times New Roman" w:hAnsi="Times New Roman" w:cs="Times New Roman"/>
                <w:sz w:val="18"/>
                <w:szCs w:val="18"/>
              </w:rPr>
              <w:t>Każdy pojedyn-czy</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wynik, MPa</w:t>
            </w:r>
          </w:p>
        </w:tc>
      </w:tr>
      <w:tr w:rsidR="007D7DA5" w:rsidRPr="007078D3" w:rsidTr="007D7DA5">
        <w:trPr>
          <w:trHeight w:val="177"/>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3"/>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858"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840" w:type="dxa"/>
            <w:gridSpan w:val="5"/>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S</w:t>
            </w:r>
          </w:p>
        </w:tc>
        <w:tc>
          <w:tcPr>
            <w:tcW w:w="966"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3,5</w:t>
            </w:r>
          </w:p>
        </w:tc>
        <w:tc>
          <w:tcPr>
            <w:tcW w:w="976" w:type="dxa"/>
            <w:gridSpan w:val="2"/>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&gt;2,8</w:t>
            </w:r>
          </w:p>
        </w:tc>
      </w:tr>
      <w:tr w:rsidR="007D7DA5" w:rsidRPr="007078D3" w:rsidTr="007D7DA5">
        <w:trPr>
          <w:trHeight w:val="191"/>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3"/>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858"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2</w:t>
            </w:r>
          </w:p>
        </w:tc>
        <w:tc>
          <w:tcPr>
            <w:tcW w:w="840" w:type="dxa"/>
            <w:gridSpan w:val="5"/>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T</w:t>
            </w:r>
          </w:p>
        </w:tc>
        <w:tc>
          <w:tcPr>
            <w:tcW w:w="966"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5,0</w:t>
            </w:r>
          </w:p>
        </w:tc>
        <w:tc>
          <w:tcPr>
            <w:tcW w:w="976" w:type="dxa"/>
            <w:gridSpan w:val="2"/>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&gt; 4,0</w:t>
            </w:r>
          </w:p>
        </w:tc>
      </w:tr>
      <w:tr w:rsidR="007D7DA5" w:rsidRPr="007078D3" w:rsidTr="007D7DA5">
        <w:trPr>
          <w:trHeight w:val="157"/>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3"/>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858"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840" w:type="dxa"/>
            <w:gridSpan w:val="5"/>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U*</w:t>
            </w:r>
          </w:p>
        </w:tc>
        <w:tc>
          <w:tcPr>
            <w:tcW w:w="966"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6,0</w:t>
            </w:r>
          </w:p>
        </w:tc>
        <w:tc>
          <w:tcPr>
            <w:tcW w:w="976" w:type="dxa"/>
            <w:gridSpan w:val="2"/>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&gt; 4,8</w:t>
            </w:r>
          </w:p>
        </w:tc>
      </w:tr>
      <w:tr w:rsidR="007D7DA5" w:rsidRPr="007078D3" w:rsidTr="007D7DA5">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2.4</w:t>
            </w:r>
          </w:p>
        </w:tc>
        <w:tc>
          <w:tcPr>
            <w:tcW w:w="337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Trwałość ze względu na wytrzymałość</w:t>
            </w:r>
          </w:p>
        </w:tc>
        <w:tc>
          <w:tcPr>
            <w:tcW w:w="1263" w:type="dxa"/>
            <w:gridSpan w:val="3"/>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F</w:t>
            </w:r>
          </w:p>
        </w:tc>
        <w:tc>
          <w:tcPr>
            <w:tcW w:w="3640" w:type="dxa"/>
            <w:gridSpan w:val="1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Krawężniki mają zadawalającą  trwałość (wytrzymałość) jeśli spełnione są wymagania pktu 2.2 oraz poddawane są normalnej konserwacji</w:t>
            </w:r>
          </w:p>
        </w:tc>
      </w:tr>
      <w:tr w:rsidR="007D7DA5" w:rsidRPr="007078D3" w:rsidTr="007D7DA5">
        <w:tc>
          <w:tcPr>
            <w:tcW w:w="586" w:type="dxa"/>
            <w:vMerge w:val="restart"/>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2.5</w:t>
            </w:r>
          </w:p>
        </w:tc>
        <w:tc>
          <w:tcPr>
            <w:tcW w:w="3379" w:type="dxa"/>
            <w:vMerge w:val="restart"/>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Odporność na ścieranie</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(Klasa odporności ustalona w dokumentacji projektowej lub przez Inżyniera)</w:t>
            </w:r>
          </w:p>
        </w:tc>
        <w:tc>
          <w:tcPr>
            <w:tcW w:w="1263" w:type="dxa"/>
            <w:gridSpan w:val="3"/>
            <w:vMerge w:val="restart"/>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G i H</w:t>
            </w:r>
          </w:p>
        </w:tc>
        <w:tc>
          <w:tcPr>
            <w:tcW w:w="933" w:type="dxa"/>
            <w:gridSpan w:val="7"/>
            <w:vMerge w:val="restart"/>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Klasa</w:t>
            </w:r>
          </w:p>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odpor-</w:t>
            </w:r>
          </w:p>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ności</w:t>
            </w:r>
          </w:p>
        </w:tc>
        <w:tc>
          <w:tcPr>
            <w:tcW w:w="2707" w:type="dxa"/>
            <w:gridSpan w:val="10"/>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Odporność przy pomiarze na tarczy</w:t>
            </w:r>
          </w:p>
        </w:tc>
      </w:tr>
      <w:tr w:rsidR="007D7DA5" w:rsidRPr="007078D3" w:rsidTr="007D7DA5">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3"/>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7"/>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1056"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szerokiej ściernej, wg zał. G normy badanie podsta-wowe</w:t>
            </w:r>
          </w:p>
        </w:tc>
        <w:tc>
          <w:tcPr>
            <w:tcW w:w="1651"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Böhmego,</w:t>
            </w:r>
          </w:p>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wg zał. H normy – badanie alternatywne</w:t>
            </w:r>
          </w:p>
        </w:tc>
      </w:tr>
      <w:tr w:rsidR="007D7DA5" w:rsidRPr="007078D3" w:rsidTr="007D7DA5">
        <w:trPr>
          <w:trHeight w:val="285"/>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3"/>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933" w:type="dxa"/>
            <w:gridSpan w:val="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1</w:t>
            </w:r>
          </w:p>
        </w:tc>
        <w:tc>
          <w:tcPr>
            <w:tcW w:w="1056"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Nie określa się</w:t>
            </w:r>
          </w:p>
        </w:tc>
        <w:tc>
          <w:tcPr>
            <w:tcW w:w="1651"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Nie określa się</w:t>
            </w:r>
          </w:p>
        </w:tc>
      </w:tr>
      <w:tr w:rsidR="007D7DA5" w:rsidRPr="007078D3" w:rsidTr="007D7DA5">
        <w:trPr>
          <w:trHeight w:val="270"/>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3"/>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933" w:type="dxa"/>
            <w:gridSpan w:val="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3</w:t>
            </w:r>
          </w:p>
        </w:tc>
        <w:tc>
          <w:tcPr>
            <w:tcW w:w="1056"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 23 mm</w:t>
            </w:r>
          </w:p>
        </w:tc>
        <w:tc>
          <w:tcPr>
            <w:tcW w:w="1651"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 20000 mm</w:t>
            </w:r>
            <w:r w:rsidRPr="00EF535A">
              <w:rPr>
                <w:rFonts w:ascii="Times New Roman" w:hAnsi="Times New Roman" w:cs="Times New Roman"/>
                <w:sz w:val="18"/>
                <w:szCs w:val="18"/>
                <w:vertAlign w:val="superscript"/>
              </w:rPr>
              <w:t>3</w:t>
            </w:r>
            <w:r w:rsidRPr="00EF535A">
              <w:rPr>
                <w:rFonts w:ascii="Times New Roman" w:hAnsi="Times New Roman" w:cs="Times New Roman"/>
                <w:sz w:val="18"/>
                <w:szCs w:val="18"/>
              </w:rPr>
              <w:t>/5000 mm</w:t>
            </w:r>
            <w:r w:rsidRPr="00EF535A">
              <w:rPr>
                <w:rFonts w:ascii="Times New Roman" w:hAnsi="Times New Roman" w:cs="Times New Roman"/>
                <w:sz w:val="18"/>
                <w:szCs w:val="18"/>
                <w:vertAlign w:val="superscript"/>
              </w:rPr>
              <w:t>2</w:t>
            </w:r>
          </w:p>
        </w:tc>
      </w:tr>
      <w:tr w:rsidR="007D7DA5" w:rsidRPr="007078D3" w:rsidTr="007D7DA5">
        <w:trPr>
          <w:trHeight w:val="932"/>
        </w:trPr>
        <w:tc>
          <w:tcPr>
            <w:tcW w:w="0" w:type="auto"/>
            <w:vMerge/>
            <w:tcBorders>
              <w:top w:val="nil"/>
              <w:left w:val="single" w:sz="8" w:space="0" w:color="auto"/>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0" w:type="auto"/>
            <w:gridSpan w:val="3"/>
            <w:vMerge/>
            <w:tcBorders>
              <w:top w:val="nil"/>
              <w:left w:val="nil"/>
              <w:bottom w:val="single" w:sz="8" w:space="0" w:color="auto"/>
              <w:right w:val="single" w:sz="8" w:space="0" w:color="auto"/>
            </w:tcBorders>
            <w:shd w:val="clear" w:color="auto" w:fill="EAEAEA"/>
            <w:vAlign w:val="center"/>
            <w:hideMark/>
          </w:tcPr>
          <w:p w:rsidR="007D7DA5" w:rsidRPr="00EF535A" w:rsidRDefault="007D7DA5" w:rsidP="00ED04E8">
            <w:pPr>
              <w:rPr>
                <w:rFonts w:ascii="Times New Roman" w:hAnsi="Times New Roman" w:cs="Times New Roman"/>
                <w:sz w:val="18"/>
                <w:szCs w:val="18"/>
              </w:rPr>
            </w:pPr>
          </w:p>
        </w:tc>
        <w:tc>
          <w:tcPr>
            <w:tcW w:w="933" w:type="dxa"/>
            <w:gridSpan w:val="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4*</w:t>
            </w:r>
          </w:p>
        </w:tc>
        <w:tc>
          <w:tcPr>
            <w:tcW w:w="1056" w:type="dxa"/>
            <w:gridSpan w:val="4"/>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 20 mm</w:t>
            </w:r>
          </w:p>
        </w:tc>
        <w:tc>
          <w:tcPr>
            <w:tcW w:w="1651" w:type="dxa"/>
            <w:gridSpan w:val="6"/>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 18000 mm</w:t>
            </w:r>
            <w:r w:rsidRPr="00EF535A">
              <w:rPr>
                <w:rFonts w:ascii="Times New Roman" w:hAnsi="Times New Roman" w:cs="Times New Roman"/>
                <w:sz w:val="18"/>
                <w:szCs w:val="18"/>
                <w:vertAlign w:val="superscript"/>
              </w:rPr>
              <w:t>3</w:t>
            </w:r>
            <w:r w:rsidRPr="00EF535A">
              <w:rPr>
                <w:rFonts w:ascii="Times New Roman" w:hAnsi="Times New Roman" w:cs="Times New Roman"/>
                <w:sz w:val="18"/>
                <w:szCs w:val="18"/>
              </w:rPr>
              <w:t>/5000 mm</w:t>
            </w:r>
            <w:r w:rsidRPr="00EF535A">
              <w:rPr>
                <w:rFonts w:ascii="Times New Roman" w:hAnsi="Times New Roman" w:cs="Times New Roman"/>
                <w:sz w:val="18"/>
                <w:szCs w:val="18"/>
                <w:vertAlign w:val="superscript"/>
              </w:rPr>
              <w:t>2</w:t>
            </w:r>
          </w:p>
        </w:tc>
      </w:tr>
      <w:tr w:rsidR="007D7DA5" w:rsidRPr="007078D3" w:rsidTr="007D7DA5">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2.6</w:t>
            </w:r>
          </w:p>
        </w:tc>
        <w:tc>
          <w:tcPr>
            <w:tcW w:w="337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Odporność na poślizg/</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lastRenderedPageBreak/>
              <w:t>poślizgnięcie</w:t>
            </w:r>
          </w:p>
        </w:tc>
        <w:tc>
          <w:tcPr>
            <w:tcW w:w="1263" w:type="dxa"/>
            <w:gridSpan w:val="3"/>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I</w:t>
            </w:r>
          </w:p>
        </w:tc>
        <w:tc>
          <w:tcPr>
            <w:tcW w:w="3640" w:type="dxa"/>
            <w:gridSpan w:val="1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 xml:space="preserve">a)jeśli górna powierzchnia krawężnika nie była </w:t>
            </w:r>
            <w:r w:rsidRPr="00EF535A">
              <w:rPr>
                <w:rFonts w:ascii="Times New Roman" w:hAnsi="Times New Roman" w:cs="Times New Roman"/>
                <w:sz w:val="18"/>
                <w:szCs w:val="18"/>
              </w:rPr>
              <w:lastRenderedPageBreak/>
              <w:t>szlifowana i/lub polerowana – zadowalająca odporność,</w:t>
            </w:r>
          </w:p>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b)   jeśli wyjątkowo wymaga się podania wartości odporności na poślizg/poślizgnięcie – należy zadeklarować minimalną jej wartość pomierzoną wg zał. I normy (wahadłowym przyrzą-dem do badania tarcia),</w:t>
            </w:r>
          </w:p>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c)trwałość odporności na poślizg/poślizgnięcie w normal-nych warunkach użytkowania krawężnika jest zadowalająca przez cały okres użytkowania, pod warunkiem właściwego utrzymywania i gdy na znacznej części nie zostało odsłonięte kruszywo podlegające intensyw-nemu polerowaniu</w:t>
            </w:r>
          </w:p>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wg GDDKiA wartość średnia USRW≥55</w:t>
            </w:r>
          </w:p>
        </w:tc>
      </w:tr>
      <w:tr w:rsidR="007D7DA5" w:rsidRPr="007078D3" w:rsidTr="007D7DA5">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lastRenderedPageBreak/>
              <w:t>3</w:t>
            </w:r>
          </w:p>
        </w:tc>
        <w:tc>
          <w:tcPr>
            <w:tcW w:w="8282" w:type="dxa"/>
            <w:gridSpan w:val="21"/>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Aspekty wizualne</w:t>
            </w:r>
          </w:p>
        </w:tc>
      </w:tr>
      <w:tr w:rsidR="007D7DA5" w:rsidRPr="007078D3" w:rsidTr="007D7DA5">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3.1</w:t>
            </w:r>
          </w:p>
        </w:tc>
        <w:tc>
          <w:tcPr>
            <w:tcW w:w="337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Wygląd</w:t>
            </w:r>
          </w:p>
        </w:tc>
        <w:tc>
          <w:tcPr>
            <w:tcW w:w="1263" w:type="dxa"/>
            <w:gridSpan w:val="3"/>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J</w:t>
            </w:r>
          </w:p>
        </w:tc>
        <w:tc>
          <w:tcPr>
            <w:tcW w:w="3640" w:type="dxa"/>
            <w:gridSpan w:val="1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a)powierzchnia krawężnika nie powinna mieć rys i odprysków,</w:t>
            </w:r>
          </w:p>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b)   nie dopuszcza się rozwarstwień w krawężnikach dwuwarstwo-wych</w:t>
            </w:r>
          </w:p>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c)ewentualne wykwity nie są uważane za istotne</w:t>
            </w:r>
          </w:p>
        </w:tc>
      </w:tr>
      <w:tr w:rsidR="007D7DA5" w:rsidRPr="007078D3" w:rsidTr="007D7DA5">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3.2</w:t>
            </w:r>
          </w:p>
        </w:tc>
        <w:tc>
          <w:tcPr>
            <w:tcW w:w="337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Tekstura</w:t>
            </w:r>
          </w:p>
        </w:tc>
        <w:tc>
          <w:tcPr>
            <w:tcW w:w="1263" w:type="dxa"/>
            <w:gridSpan w:val="3"/>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J</w:t>
            </w:r>
          </w:p>
        </w:tc>
        <w:tc>
          <w:tcPr>
            <w:tcW w:w="3640" w:type="dxa"/>
            <w:gridSpan w:val="1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a)krawężniki z powierzchnią o specjalnej teksturze – producent powinien określić rodzaj tekstury,</w:t>
            </w:r>
          </w:p>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b)   tekstura powinna być porównana z próbkami dostarczonymi przez producenta, zatwierdzonymi przez odbiorcę,</w:t>
            </w:r>
          </w:p>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c)różnice w jednolitości tekstury, spowodowane nieuniknionymi zmianami we właściwości surowców i warunków twardnienia, nie są uważane za istotne</w:t>
            </w:r>
          </w:p>
        </w:tc>
      </w:tr>
      <w:tr w:rsidR="007D7DA5" w:rsidRPr="007078D3" w:rsidTr="007D7DA5">
        <w:tc>
          <w:tcPr>
            <w:tcW w:w="58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3.3</w:t>
            </w:r>
          </w:p>
        </w:tc>
        <w:tc>
          <w:tcPr>
            <w:tcW w:w="337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rPr>
                <w:rFonts w:ascii="Times New Roman" w:hAnsi="Times New Roman" w:cs="Times New Roman"/>
                <w:sz w:val="18"/>
                <w:szCs w:val="18"/>
              </w:rPr>
            </w:pPr>
            <w:r w:rsidRPr="00EF535A">
              <w:rPr>
                <w:rFonts w:ascii="Times New Roman" w:hAnsi="Times New Roman" w:cs="Times New Roman"/>
                <w:sz w:val="18"/>
                <w:szCs w:val="18"/>
              </w:rPr>
              <w:t>Zabarwienie</w:t>
            </w:r>
          </w:p>
        </w:tc>
        <w:tc>
          <w:tcPr>
            <w:tcW w:w="1263" w:type="dxa"/>
            <w:gridSpan w:val="3"/>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jc w:val="center"/>
              <w:rPr>
                <w:rFonts w:ascii="Times New Roman" w:hAnsi="Times New Roman" w:cs="Times New Roman"/>
                <w:sz w:val="18"/>
                <w:szCs w:val="18"/>
              </w:rPr>
            </w:pPr>
            <w:r w:rsidRPr="00EF535A">
              <w:rPr>
                <w:rFonts w:ascii="Times New Roman" w:hAnsi="Times New Roman" w:cs="Times New Roman"/>
                <w:sz w:val="18"/>
                <w:szCs w:val="18"/>
              </w:rPr>
              <w:t>J</w:t>
            </w:r>
          </w:p>
        </w:tc>
        <w:tc>
          <w:tcPr>
            <w:tcW w:w="3640" w:type="dxa"/>
            <w:gridSpan w:val="17"/>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a)    barwiona może być warstwa ścieralna lub cały element,</w:t>
            </w:r>
          </w:p>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b)   zabarwienie powinno być porównane z próbkami dostarczonymi przez producenta, zatwierdzonymi przez odbiorcę,</w:t>
            </w:r>
          </w:p>
          <w:p w:rsidR="007D7DA5" w:rsidRPr="00EF535A" w:rsidRDefault="007D7DA5" w:rsidP="00ED04E8">
            <w:pPr>
              <w:ind w:left="283" w:hanging="283"/>
              <w:rPr>
                <w:rFonts w:ascii="Times New Roman" w:hAnsi="Times New Roman" w:cs="Times New Roman"/>
                <w:sz w:val="18"/>
                <w:szCs w:val="18"/>
              </w:rPr>
            </w:pPr>
            <w:r w:rsidRPr="00EF535A">
              <w:rPr>
                <w:rFonts w:ascii="Times New Roman" w:hAnsi="Times New Roman" w:cs="Times New Roman"/>
                <w:sz w:val="18"/>
                <w:szCs w:val="18"/>
              </w:rPr>
              <w:t>c)    różnice w jednolitości zabarwienia, spowodowane nieuniknionymi zmianami właściwości surowców lub warunków dojrzewania betonu, nie są uważane za istotne</w:t>
            </w:r>
          </w:p>
        </w:tc>
      </w:tr>
      <w:tr w:rsidR="007D7DA5" w:rsidRPr="007078D3" w:rsidTr="007D7DA5">
        <w:tc>
          <w:tcPr>
            <w:tcW w:w="586" w:type="dxa"/>
            <w:shd w:val="clear" w:color="auto" w:fill="EAEAEA"/>
            <w:vAlign w:val="center"/>
            <w:hideMark/>
          </w:tcPr>
          <w:p w:rsidR="007D7DA5" w:rsidRPr="007078D3" w:rsidRDefault="007D7DA5" w:rsidP="00ED04E8">
            <w:pPr>
              <w:rPr>
                <w:rFonts w:ascii="Times New Roman" w:hAnsi="Times New Roman" w:cs="Times New Roman"/>
                <w:szCs w:val="20"/>
              </w:rPr>
            </w:pPr>
          </w:p>
        </w:tc>
        <w:tc>
          <w:tcPr>
            <w:tcW w:w="3379" w:type="dxa"/>
            <w:shd w:val="clear" w:color="auto" w:fill="EAEAEA"/>
            <w:vAlign w:val="center"/>
            <w:hideMark/>
          </w:tcPr>
          <w:p w:rsidR="007D7DA5" w:rsidRPr="007078D3" w:rsidRDefault="007D7DA5" w:rsidP="00ED04E8">
            <w:pPr>
              <w:rPr>
                <w:rFonts w:ascii="Times New Roman" w:hAnsi="Times New Roman" w:cs="Times New Roman"/>
                <w:szCs w:val="20"/>
              </w:rPr>
            </w:pPr>
          </w:p>
        </w:tc>
        <w:tc>
          <w:tcPr>
            <w:tcW w:w="20" w:type="dxa"/>
            <w:shd w:val="clear" w:color="auto" w:fill="EAEAEA"/>
            <w:vAlign w:val="center"/>
            <w:hideMark/>
          </w:tcPr>
          <w:p w:rsidR="007D7DA5" w:rsidRPr="007078D3" w:rsidRDefault="007D7DA5" w:rsidP="00ED04E8">
            <w:pPr>
              <w:rPr>
                <w:rFonts w:ascii="Times New Roman" w:hAnsi="Times New Roman" w:cs="Times New Roman"/>
                <w:szCs w:val="20"/>
              </w:rPr>
            </w:pPr>
          </w:p>
        </w:tc>
        <w:tc>
          <w:tcPr>
            <w:tcW w:w="15" w:type="dxa"/>
            <w:shd w:val="clear" w:color="auto" w:fill="EAEAEA"/>
            <w:vAlign w:val="center"/>
            <w:hideMark/>
          </w:tcPr>
          <w:p w:rsidR="007D7DA5" w:rsidRPr="007078D3" w:rsidRDefault="007D7DA5" w:rsidP="00ED04E8">
            <w:pPr>
              <w:rPr>
                <w:rFonts w:ascii="Times New Roman" w:hAnsi="Times New Roman" w:cs="Times New Roman"/>
                <w:szCs w:val="20"/>
              </w:rPr>
            </w:pPr>
          </w:p>
        </w:tc>
        <w:tc>
          <w:tcPr>
            <w:tcW w:w="1263" w:type="dxa"/>
            <w:gridSpan w:val="3"/>
            <w:shd w:val="clear" w:color="auto" w:fill="EAEAEA"/>
            <w:vAlign w:val="center"/>
            <w:hideMark/>
          </w:tcPr>
          <w:p w:rsidR="007D7DA5" w:rsidRPr="007078D3" w:rsidRDefault="007D7DA5" w:rsidP="00ED04E8">
            <w:pPr>
              <w:rPr>
                <w:rFonts w:ascii="Times New Roman" w:hAnsi="Times New Roman" w:cs="Times New Roman"/>
                <w:szCs w:val="20"/>
              </w:rPr>
            </w:pPr>
          </w:p>
        </w:tc>
        <w:tc>
          <w:tcPr>
            <w:tcW w:w="18" w:type="dxa"/>
            <w:shd w:val="clear" w:color="auto" w:fill="EAEAEA"/>
            <w:vAlign w:val="center"/>
            <w:hideMark/>
          </w:tcPr>
          <w:p w:rsidR="007D7DA5" w:rsidRPr="007078D3" w:rsidRDefault="007D7DA5" w:rsidP="00ED04E8">
            <w:pPr>
              <w:rPr>
                <w:rFonts w:ascii="Times New Roman" w:hAnsi="Times New Roman" w:cs="Times New Roman"/>
                <w:szCs w:val="20"/>
              </w:rPr>
            </w:pPr>
          </w:p>
        </w:tc>
        <w:tc>
          <w:tcPr>
            <w:tcW w:w="840" w:type="dxa"/>
            <w:gridSpan w:val="2"/>
            <w:shd w:val="clear" w:color="auto" w:fill="EAEAEA"/>
            <w:vAlign w:val="center"/>
            <w:hideMark/>
          </w:tcPr>
          <w:p w:rsidR="007D7DA5" w:rsidRPr="007078D3" w:rsidRDefault="007D7DA5" w:rsidP="00ED04E8">
            <w:pPr>
              <w:rPr>
                <w:rFonts w:ascii="Times New Roman" w:hAnsi="Times New Roman" w:cs="Times New Roman"/>
                <w:szCs w:val="20"/>
              </w:rPr>
            </w:pPr>
          </w:p>
        </w:tc>
        <w:tc>
          <w:tcPr>
            <w:tcW w:w="45" w:type="dxa"/>
            <w:gridSpan w:val="2"/>
            <w:shd w:val="clear" w:color="auto" w:fill="EAEAEA"/>
            <w:vAlign w:val="center"/>
            <w:hideMark/>
          </w:tcPr>
          <w:p w:rsidR="007D7DA5" w:rsidRPr="007078D3" w:rsidRDefault="007D7DA5" w:rsidP="00ED04E8">
            <w:pPr>
              <w:rPr>
                <w:rFonts w:ascii="Times New Roman" w:hAnsi="Times New Roman" w:cs="Times New Roman"/>
                <w:szCs w:val="20"/>
              </w:rPr>
            </w:pPr>
          </w:p>
        </w:tc>
        <w:tc>
          <w:tcPr>
            <w:tcW w:w="30" w:type="dxa"/>
            <w:shd w:val="clear" w:color="auto" w:fill="EAEAEA"/>
            <w:vAlign w:val="center"/>
            <w:hideMark/>
          </w:tcPr>
          <w:p w:rsidR="007D7DA5" w:rsidRPr="007078D3" w:rsidRDefault="007D7DA5" w:rsidP="00ED04E8">
            <w:pPr>
              <w:rPr>
                <w:rFonts w:ascii="Times New Roman" w:hAnsi="Times New Roman" w:cs="Times New Roman"/>
                <w:szCs w:val="20"/>
              </w:rPr>
            </w:pPr>
          </w:p>
        </w:tc>
        <w:tc>
          <w:tcPr>
            <w:tcW w:w="765" w:type="dxa"/>
            <w:gridSpan w:val="2"/>
            <w:shd w:val="clear" w:color="auto" w:fill="EAEAEA"/>
            <w:vAlign w:val="center"/>
            <w:hideMark/>
          </w:tcPr>
          <w:p w:rsidR="007D7DA5" w:rsidRPr="007078D3" w:rsidRDefault="007D7DA5" w:rsidP="00ED04E8">
            <w:pPr>
              <w:rPr>
                <w:rFonts w:ascii="Times New Roman" w:hAnsi="Times New Roman" w:cs="Times New Roman"/>
                <w:szCs w:val="20"/>
              </w:rPr>
            </w:pPr>
          </w:p>
        </w:tc>
        <w:tc>
          <w:tcPr>
            <w:tcW w:w="291" w:type="dxa"/>
            <w:gridSpan w:val="2"/>
            <w:shd w:val="clear" w:color="auto" w:fill="EAEAEA"/>
            <w:vAlign w:val="center"/>
            <w:hideMark/>
          </w:tcPr>
          <w:p w:rsidR="007D7DA5" w:rsidRPr="007078D3" w:rsidRDefault="007D7DA5" w:rsidP="00ED04E8">
            <w:pPr>
              <w:rPr>
                <w:rFonts w:ascii="Times New Roman" w:hAnsi="Times New Roman" w:cs="Times New Roman"/>
                <w:szCs w:val="20"/>
              </w:rPr>
            </w:pPr>
          </w:p>
        </w:tc>
        <w:tc>
          <w:tcPr>
            <w:tcW w:w="75" w:type="dxa"/>
            <w:gridSpan w:val="2"/>
            <w:shd w:val="clear" w:color="auto" w:fill="EAEAEA"/>
            <w:vAlign w:val="center"/>
            <w:hideMark/>
          </w:tcPr>
          <w:p w:rsidR="007D7DA5" w:rsidRPr="007078D3" w:rsidRDefault="007D7DA5" w:rsidP="00ED04E8">
            <w:pPr>
              <w:rPr>
                <w:rFonts w:ascii="Times New Roman" w:hAnsi="Times New Roman" w:cs="Times New Roman"/>
                <w:szCs w:val="20"/>
              </w:rPr>
            </w:pPr>
          </w:p>
        </w:tc>
        <w:tc>
          <w:tcPr>
            <w:tcW w:w="600" w:type="dxa"/>
            <w:gridSpan w:val="2"/>
            <w:shd w:val="clear" w:color="auto" w:fill="EAEAEA"/>
            <w:vAlign w:val="center"/>
            <w:hideMark/>
          </w:tcPr>
          <w:p w:rsidR="007D7DA5" w:rsidRPr="007078D3" w:rsidRDefault="007D7DA5" w:rsidP="00ED04E8">
            <w:pPr>
              <w:rPr>
                <w:rFonts w:ascii="Times New Roman" w:hAnsi="Times New Roman" w:cs="Times New Roman"/>
                <w:szCs w:val="20"/>
              </w:rPr>
            </w:pPr>
          </w:p>
        </w:tc>
        <w:tc>
          <w:tcPr>
            <w:tcW w:w="976" w:type="dxa"/>
            <w:shd w:val="clear" w:color="auto" w:fill="EAEAEA"/>
            <w:vAlign w:val="center"/>
            <w:hideMark/>
          </w:tcPr>
          <w:p w:rsidR="007D7DA5" w:rsidRPr="007078D3" w:rsidRDefault="007D7DA5" w:rsidP="00ED04E8">
            <w:pPr>
              <w:rPr>
                <w:rFonts w:ascii="Times New Roman" w:hAnsi="Times New Roman" w:cs="Times New Roman"/>
                <w:szCs w:val="20"/>
              </w:rPr>
            </w:pPr>
          </w:p>
        </w:tc>
      </w:tr>
      <w:tr w:rsidR="007D7DA5" w:rsidRPr="007078D3" w:rsidTr="007D7DA5">
        <w:tc>
          <w:tcPr>
            <w:tcW w:w="58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337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1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1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123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1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1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1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81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3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1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3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3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73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3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25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3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4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3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57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30"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c>
          <w:tcPr>
            <w:tcW w:w="975" w:type="dxa"/>
            <w:tcBorders>
              <w:top w:val="nil"/>
              <w:left w:val="nil"/>
              <w:bottom w:val="nil"/>
              <w:right w:val="nil"/>
            </w:tcBorders>
            <w:shd w:val="clear" w:color="auto" w:fill="EAEAEA"/>
            <w:vAlign w:val="center"/>
            <w:hideMark/>
          </w:tcPr>
          <w:p w:rsidR="007D7DA5" w:rsidRPr="007078D3" w:rsidRDefault="007D7DA5" w:rsidP="00ED04E8">
            <w:pPr>
              <w:rPr>
                <w:rFonts w:ascii="Times New Roman" w:hAnsi="Times New Roman" w:cs="Times New Roman"/>
                <w:szCs w:val="20"/>
              </w:rPr>
            </w:pPr>
          </w:p>
        </w:tc>
      </w:tr>
    </w:tbl>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parametry zalecone przez GDDKiA [10]</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wg GDDKiA: wartość średnia dla każdego krawężnika nie większa niż 5,0% (kryterium podwyższone) [10]</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zastosowań krawężników betonowych na powierzchniach innych niż przewidziano w tabeli 1 (np. przy nawierzchniach wewnętrznych, nie narażonych na kontakt z solą odladzającą), wymagania wobec krawężników należy odpowiednio dostosować do ustaleń PN-EN 1340 [3].</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2.2.3.3. Składowanie krawężników</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Krawężniki betonowe mogą być przechowywane na składowiskach otwartych, posegregowane według typów, rodzajów, kształtów, cech fizycznych i mechanicznych, wielkości, wyglądu itp.</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Krawężniki betonowe należy układać z zastosowaniem podkładek i przekładek drewnianych o wymiarach: grubość 2,5 cm, szerokość 5 cm, długości min. 5 cm większej od szerokości krawężnika.</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2.2.4. </w:t>
      </w:r>
      <w:r w:rsidRPr="007078D3">
        <w:rPr>
          <w:rFonts w:ascii="Times New Roman" w:hAnsi="Times New Roman"/>
          <w:b w:val="0"/>
          <w:bCs w:val="0"/>
          <w:color w:val="000000"/>
          <w:szCs w:val="20"/>
        </w:rPr>
        <w:t>Materiały na podsypkę i do zapraw</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Jeśli dokumentacja projektowa lub ST nie ustala inaczej, to można zastosować podsypkę cementowo-piaskową oraz zaprawy z użyciem materiałów spełniających poniższe wymagania:</w:t>
      </w:r>
    </w:p>
    <w:p w:rsidR="007D7DA5" w:rsidRPr="007078D3" w:rsidRDefault="007D7DA5" w:rsidP="00ED04E8">
      <w:pPr>
        <w:ind w:left="454" w:hanging="397"/>
        <w:rPr>
          <w:rFonts w:ascii="Times New Roman" w:hAnsi="Times New Roman" w:cs="Times New Roman"/>
          <w:color w:val="000000"/>
          <w:szCs w:val="20"/>
        </w:rPr>
      </w:pPr>
      <w:r w:rsidRPr="007078D3">
        <w:rPr>
          <w:rFonts w:ascii="Times New Roman" w:hAnsi="Times New Roman" w:cs="Times New Roman"/>
          <w:color w:val="000000"/>
          <w:szCs w:val="20"/>
        </w:rPr>
        <w:t>–         cement powszechnego użytku wg normy PN-EN-197-1 [8],</w:t>
      </w:r>
    </w:p>
    <w:p w:rsidR="007D7DA5" w:rsidRPr="007078D3" w:rsidRDefault="007D7DA5" w:rsidP="00ED04E8">
      <w:pPr>
        <w:ind w:left="454" w:hanging="397"/>
        <w:rPr>
          <w:rFonts w:ascii="Times New Roman" w:hAnsi="Times New Roman" w:cs="Times New Roman"/>
          <w:color w:val="000000"/>
          <w:szCs w:val="20"/>
        </w:rPr>
      </w:pPr>
      <w:r w:rsidRPr="007078D3">
        <w:rPr>
          <w:rFonts w:ascii="Times New Roman" w:hAnsi="Times New Roman" w:cs="Times New Roman"/>
          <w:color w:val="000000"/>
          <w:szCs w:val="20"/>
        </w:rPr>
        <w:t>–         kruszywo drobne 0/2, 0/4 lub 0/5 wg normy PN-EN 13242 [5] kategorii uziarnienia G</w:t>
      </w:r>
      <w:r w:rsidRPr="007078D3">
        <w:rPr>
          <w:rFonts w:ascii="Times New Roman" w:hAnsi="Times New Roman" w:cs="Times New Roman"/>
          <w:color w:val="000000"/>
          <w:szCs w:val="20"/>
          <w:vertAlign w:val="subscript"/>
        </w:rPr>
        <w:t>F</w:t>
      </w:r>
      <w:r w:rsidRPr="007078D3">
        <w:rPr>
          <w:rFonts w:ascii="Times New Roman" w:hAnsi="Times New Roman" w:cs="Times New Roman"/>
          <w:color w:val="000000"/>
          <w:szCs w:val="20"/>
        </w:rPr>
        <w:t>85 i zawartości pyłów f</w:t>
      </w:r>
      <w:r w:rsidRPr="007078D3">
        <w:rPr>
          <w:rFonts w:ascii="Times New Roman" w:hAnsi="Times New Roman" w:cs="Times New Roman"/>
          <w:color w:val="000000"/>
          <w:szCs w:val="20"/>
          <w:vertAlign w:val="subscript"/>
        </w:rPr>
        <w:t>10</w:t>
      </w:r>
      <w:r w:rsidRPr="007078D3">
        <w:rPr>
          <w:rFonts w:ascii="Times New Roman" w:hAnsi="Times New Roman" w:cs="Times New Roman"/>
          <w:color w:val="000000"/>
          <w:szCs w:val="20"/>
        </w:rPr>
        <w:t>,</w:t>
      </w:r>
    </w:p>
    <w:p w:rsidR="007D7DA5" w:rsidRPr="007078D3" w:rsidRDefault="007D7DA5" w:rsidP="00ED04E8">
      <w:pPr>
        <w:ind w:left="454" w:hanging="397"/>
        <w:rPr>
          <w:rFonts w:ascii="Times New Roman" w:hAnsi="Times New Roman" w:cs="Times New Roman"/>
          <w:color w:val="000000"/>
          <w:szCs w:val="20"/>
        </w:rPr>
      </w:pPr>
      <w:r w:rsidRPr="007078D3">
        <w:rPr>
          <w:rFonts w:ascii="Times New Roman" w:hAnsi="Times New Roman" w:cs="Times New Roman"/>
          <w:color w:val="000000"/>
          <w:szCs w:val="20"/>
        </w:rPr>
        <w:t>–         kruszywo 1/4, 2/5 lub 2/8, wg normy PN-EN 13242 [5] kategorii uziarnienia G</w:t>
      </w:r>
      <w:r w:rsidRPr="007078D3">
        <w:rPr>
          <w:rFonts w:ascii="Times New Roman" w:hAnsi="Times New Roman" w:cs="Times New Roman"/>
          <w:color w:val="000000"/>
          <w:szCs w:val="20"/>
          <w:vertAlign w:val="subscript"/>
        </w:rPr>
        <w:t>C</w:t>
      </w:r>
      <w:r w:rsidRPr="007078D3">
        <w:rPr>
          <w:rFonts w:ascii="Times New Roman" w:hAnsi="Times New Roman" w:cs="Times New Roman"/>
          <w:color w:val="000000"/>
          <w:szCs w:val="20"/>
        </w:rPr>
        <w:t>80/20</w:t>
      </w:r>
    </w:p>
    <w:p w:rsidR="007D7DA5" w:rsidRPr="007078D3" w:rsidRDefault="007D7DA5" w:rsidP="00ED04E8">
      <w:pPr>
        <w:ind w:firstLine="480"/>
        <w:rPr>
          <w:rFonts w:ascii="Times New Roman" w:hAnsi="Times New Roman" w:cs="Times New Roman"/>
          <w:color w:val="000000"/>
          <w:szCs w:val="20"/>
        </w:rPr>
      </w:pPr>
      <w:r w:rsidRPr="007078D3">
        <w:rPr>
          <w:rFonts w:ascii="Times New Roman" w:hAnsi="Times New Roman" w:cs="Times New Roman"/>
          <w:color w:val="000000"/>
          <w:szCs w:val="20"/>
        </w:rPr>
        <w:t>i zawartości pyłów f</w:t>
      </w:r>
      <w:r w:rsidRPr="007078D3">
        <w:rPr>
          <w:rFonts w:ascii="Times New Roman" w:hAnsi="Times New Roman" w:cs="Times New Roman"/>
          <w:color w:val="000000"/>
          <w:szCs w:val="20"/>
          <w:vertAlign w:val="subscript"/>
        </w:rPr>
        <w:t>10</w:t>
      </w:r>
      <w:r w:rsidRPr="007078D3">
        <w:rPr>
          <w:rFonts w:ascii="Times New Roman" w:hAnsi="Times New Roman" w:cs="Times New Roman"/>
          <w:color w:val="000000"/>
          <w:szCs w:val="20"/>
        </w:rPr>
        <w:t>,</w:t>
      </w:r>
    </w:p>
    <w:p w:rsidR="007D7DA5" w:rsidRPr="007078D3" w:rsidRDefault="007D7DA5" w:rsidP="00ED04E8">
      <w:pPr>
        <w:ind w:left="454" w:hanging="397"/>
        <w:rPr>
          <w:rFonts w:ascii="Times New Roman" w:hAnsi="Times New Roman" w:cs="Times New Roman"/>
          <w:color w:val="000000"/>
          <w:szCs w:val="20"/>
        </w:rPr>
      </w:pPr>
      <w:r w:rsidRPr="007078D3">
        <w:rPr>
          <w:rFonts w:ascii="Times New Roman" w:hAnsi="Times New Roman" w:cs="Times New Roman"/>
          <w:color w:val="000000"/>
          <w:szCs w:val="20"/>
        </w:rPr>
        <w:t>–         zaleca się stosować wodę pitną z wodociągu, która nie wymaga badań; w przypadku czerpania wody z innych źródeł, woda musi spełniać wymagania normy PN-EN 1008 [4].</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2.2.5. </w:t>
      </w:r>
      <w:r w:rsidRPr="007078D3">
        <w:rPr>
          <w:rFonts w:ascii="Times New Roman" w:hAnsi="Times New Roman" w:cs="Times New Roman"/>
          <w:color w:val="000000"/>
          <w:szCs w:val="20"/>
        </w:rPr>
        <w:t>Materiały na ławy</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Do wykonania ław pod krawężnik należy stosować, dla:</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a)    ławy betonowej – beton klasy C12/15 lub C8/10 wg PN-EN 206 [2],</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b)   ławy kruszywowej z kruszywa otoczakowego lub łamanego wg PN-EN 13242 [5].</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lastRenderedPageBreak/>
        <w:t>2.2.6. </w:t>
      </w:r>
      <w:r w:rsidRPr="007078D3">
        <w:rPr>
          <w:rFonts w:ascii="Times New Roman" w:hAnsi="Times New Roman" w:cs="Times New Roman"/>
          <w:color w:val="000000"/>
          <w:szCs w:val="20"/>
        </w:rPr>
        <w:t>Masa zalewowa w szczelinach ławy betonowej i spoinach krawężników</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Do uszczelniania szczelin dylatacyjnych można stosować masy zalewowe stosowane na gorąco lub stosowane na zimno. Do spoin należy stosować masy o konsystencji nadającej się do wypełniania szczelin pionowych.</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Masy zalewowe stosowane na gorąco powinny spełniać wymagania PN-EN 14188-1[6].</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Masy zalewowe stosowane na zimno powinny spełniać wymagania PN-EN 14188-2 [7].</w:t>
      </w:r>
    </w:p>
    <w:p w:rsidR="007D7DA5" w:rsidRPr="007078D3" w:rsidRDefault="007D7DA5" w:rsidP="00ED04E8">
      <w:pPr>
        <w:pStyle w:val="Nagwek1"/>
        <w:spacing w:before="0" w:beforeAutospacing="0" w:after="0" w:afterAutospacing="0"/>
        <w:jc w:val="both"/>
        <w:rPr>
          <w:rFonts w:ascii="Times New Roman" w:hAnsi="Times New Roman"/>
          <w:caps/>
          <w:color w:val="000000"/>
          <w:szCs w:val="20"/>
        </w:rPr>
      </w:pPr>
      <w:bookmarkStart w:id="1336" w:name="_Toc2587774"/>
      <w:r w:rsidRPr="007078D3">
        <w:rPr>
          <w:rFonts w:ascii="Times New Roman" w:hAnsi="Times New Roman"/>
          <w:caps/>
          <w:color w:val="000000"/>
          <w:szCs w:val="20"/>
        </w:rPr>
        <w:t>3. SPRZĘT</w:t>
      </w:r>
      <w:bookmarkEnd w:id="1336"/>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3.1. Ogólne wymagania dotyczące sprzętu</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sprzętu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[1] pkt 3.</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3.2. Sprzęt do wykonania robót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Roboty wykonuje się ręcznie przy zastosowaniu:</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betoniarek do wytwarzania betonu i zapraw oraz przygotowania podsypki cementowo-piaskowej,</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wibratorów płytowych, ubijaków ręcznych lub mechanicznych.</w:t>
      </w:r>
    </w:p>
    <w:p w:rsidR="007D7DA5" w:rsidRPr="007078D3" w:rsidRDefault="007D7DA5" w:rsidP="00ED04E8">
      <w:pPr>
        <w:pStyle w:val="Nagwek1"/>
        <w:spacing w:before="0" w:beforeAutospacing="0" w:after="0" w:afterAutospacing="0"/>
        <w:jc w:val="both"/>
        <w:rPr>
          <w:rFonts w:ascii="Times New Roman" w:hAnsi="Times New Roman"/>
          <w:caps/>
          <w:color w:val="000000"/>
          <w:szCs w:val="20"/>
        </w:rPr>
      </w:pPr>
      <w:bookmarkStart w:id="1337" w:name="_Toc2587775"/>
      <w:r w:rsidRPr="007078D3">
        <w:rPr>
          <w:rFonts w:ascii="Times New Roman" w:hAnsi="Times New Roman"/>
          <w:caps/>
          <w:color w:val="000000"/>
          <w:szCs w:val="20"/>
        </w:rPr>
        <w:t>4. TRANSPORT</w:t>
      </w:r>
      <w:bookmarkEnd w:id="1337"/>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4.1. Ogólne wymagania dotyczące transportu</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wymagania dotyczące transportu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4.</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4.2. Transport krawężników</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            </w:t>
      </w:r>
      <w:r w:rsidRPr="007078D3">
        <w:rPr>
          <w:rFonts w:ascii="Times New Roman" w:hAnsi="Times New Roman" w:cs="Times New Roman"/>
          <w:color w:val="000000"/>
          <w:szCs w:val="20"/>
        </w:rPr>
        <w:t>Krawężniki betonowe mogą być przewożone dowolnymi środkami transportowymi.</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Krawężniki betonowe układać należy na środkach transportowych w pozycji pionowej z nachyleniem w kierunku jazdy.</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Krawężniki powinny być zabezpieczone przed przemieszczeniem się i uszkodzeniami w czasie transportu, a górna warstwa nie powinna wystawać powyżej ścian środka transportowego więcej niż 1/3 wysokości tej warstwy.</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4.3. Transport pozostałych materiałów</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Cement w workach może być przewożony samochodami krytymi, wagonami towarowymi i innymi środkami transportu, w sposób nie powodujący uszkodzeń opakowania. Worki na paletach układa się po 5 warstw po 4 szt. w warstwie. Worki niespaletowane układa się na płask w wysokości do 10 warstw. Cement luzem przewozi się w zbiornikach (wagonach, samochodach), czystych i nie zanieczyszczanych podczas transportu. Środki transportu powinny być wyposażone we wsypy i urządzenia do wyładowania cementu.</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Kruszywa można przewozić dowolnym środkiem transportu, w warunkach zabezpieczających je przed zanieczyszczeniem i zmieszaniem z innymi materiałami. Podczas transportu kruszywa powinny być zabezpieczone przed wysypaniem, a kruszywo drobne - przed rozpyleniem.</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Przy transporcie mieszanki betonowej należy zapewnić warunki zapewniające ochronę przed wysychaniem, wpływami atmosferycznymi i segregacją.</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Masę zalewową należy przewozić w fabrycznych opakowaniach, w warunkach zabezpieczających przed ich uszkodzeniem.</w:t>
      </w:r>
    </w:p>
    <w:p w:rsidR="007D7DA5" w:rsidRPr="007078D3" w:rsidRDefault="007D7DA5" w:rsidP="00ED04E8">
      <w:pPr>
        <w:pStyle w:val="Nagwek1"/>
        <w:spacing w:before="0" w:beforeAutospacing="0" w:after="0" w:afterAutospacing="0"/>
        <w:jc w:val="both"/>
        <w:rPr>
          <w:rFonts w:ascii="Times New Roman" w:hAnsi="Times New Roman"/>
          <w:caps/>
          <w:color w:val="000000"/>
          <w:szCs w:val="20"/>
        </w:rPr>
      </w:pPr>
      <w:bookmarkStart w:id="1338" w:name="_Toc2587776"/>
      <w:r w:rsidRPr="007078D3">
        <w:rPr>
          <w:rFonts w:ascii="Times New Roman" w:hAnsi="Times New Roman"/>
          <w:caps/>
          <w:color w:val="000000"/>
          <w:szCs w:val="20"/>
        </w:rPr>
        <w:t>5. WYKONANIE ROBÓT</w:t>
      </w:r>
      <w:bookmarkEnd w:id="1338"/>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5.1. Ogólne zasady wykonania robót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wykonania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pkt 5.</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5.2. Zasady wykonywania robót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Sposób wykonania robót powinien być zgodny z dokumentacją projektową i ST. W przypadku braku wystarczających danych można korzystać z ustaleń podanych w niniejszej specyfikacji oraz z informacji podanych w załącznikach.</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Podstawowe czynności przy wykonywaniu robót obejmują:</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1.    roboty przygotowawcze,</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2.    wykonanie ławy,</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3.    ustawienie krawężników,</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4.    wypełnienie spoin,</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5.    roboty wykończeniowe.</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5.3. Roboty przygotowawcze</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Przed przystąpieniem do robót należy, na podstawie dokumentacji projektowej,  ST lub wskazań Inżyniera:</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ustalić lokalizację robót,</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ustalić dane niezbędne do szczegółowego wytyczenia robót oraz ustalenia danych wysokościowych,</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usunąć przeszkody, np. słupki, pachołki, elementy dróg, ogrodzeń itd.,</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ustalić materiały niezbędne do wykonania robót,</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określić kolejność, sposób i termin wykonania robót.</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5.4. Wykonanie ławy</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5.4.1. </w:t>
      </w:r>
      <w:r w:rsidRPr="007078D3">
        <w:rPr>
          <w:rFonts w:ascii="Times New Roman" w:hAnsi="Times New Roman" w:cs="Times New Roman"/>
          <w:color w:val="000000"/>
          <w:szCs w:val="20"/>
        </w:rPr>
        <w:t>Koryto pod ławę</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Wymiary wykopu, stanowiącego koryto pod ławę, powinny odpowiadać wymiarom ławy w planie z uwzględnieniem w szerokości dna wykopu ew. konstrukcji szalunku.</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Wskaźnik zagęszczenia dna wykonanego koryta pod ławę powinien wynosić co najmniej 0,97 według normalnej metody Proctora.</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5.4.2. </w:t>
      </w:r>
      <w:r w:rsidRPr="007078D3">
        <w:rPr>
          <w:rFonts w:ascii="Times New Roman" w:hAnsi="Times New Roman" w:cs="Times New Roman"/>
          <w:color w:val="000000"/>
          <w:szCs w:val="20"/>
        </w:rPr>
        <w:t>Ława kruszywowa</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Ławę kruszywową o wysokości do 10 cm wykonuje się jednowarstwowo przez zasypanie koryta kruszywem i zagęszczenie go, polewając wodą.</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Ławy o wysokości powyżej 10 cm należy wykonywać dwuwarstwowo, starannie zagęszczając poszczególne warstwy.</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kruszywa łamanego, górną powierzchnię ławy należy wyrównać kruszywem drobniejszym (klińcem) i zagęścić.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5.4.3. </w:t>
      </w:r>
      <w:r w:rsidRPr="007078D3">
        <w:rPr>
          <w:rFonts w:ascii="Times New Roman" w:hAnsi="Times New Roman" w:cs="Times New Roman"/>
          <w:color w:val="000000"/>
          <w:szCs w:val="20"/>
        </w:rPr>
        <w:t>Ława betonowa</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Ławę betonową zwykłą w gruntach spoistych wykonuje się bez szalowania, przy gruntach sypkich należy stosować szalowanie.</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Ławę betonową z oporem wykonuje się w szalowaniu. Beton rozścielony w szalowaniu lub bezpośrednio w korycie powinien być wyrównywany warstwami. Co 50 m w ławie należy wykonać szczeliny dylatacyjne wypełnione bitumiczną masą zalewową.</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Przykłady ław betonowych zwykłych i ław z oporem podaje załącznik 4.</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5.5. Ustawienie krawężników betonowych</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5.5.1. </w:t>
      </w:r>
      <w:r w:rsidRPr="007078D3">
        <w:rPr>
          <w:rFonts w:ascii="Times New Roman" w:hAnsi="Times New Roman" w:cs="Times New Roman"/>
          <w:color w:val="000000"/>
          <w:szCs w:val="20"/>
        </w:rPr>
        <w:t>Zasady ustawiania krawężników</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Światło (odległość górnej powierzchni krawężnika od jezdni) powinno być zgodne z ustaleniami dokumentacji projektowej, a w przypadku braku takich ustaleń powinno wynosić od 10 do 12 cm, a w przypadkach wyjątkowych (np. ze względu na „wyrobienie” ścieku)  może być zmniejszone do 2 cm (np. zjazdy) lub zwiększone do 16 cm (np. zatoki autobusowe).</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Zewnętrzna ściana krawężnika od strony chodnika powinna być po ustawieniu krawężnika obsypana piaskiem, żwirem, tłuczniem lub miejscowym gruntem przepuszczalnym, starannie ubitym.</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Przy układaniu krawężników na łukach R≤12 m zaleca się stosowanie krawężników betonowych łukowych.</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5.5.2. </w:t>
      </w:r>
      <w:r w:rsidRPr="007078D3">
        <w:rPr>
          <w:rFonts w:ascii="Times New Roman" w:hAnsi="Times New Roman" w:cs="Times New Roman"/>
          <w:color w:val="000000"/>
          <w:szCs w:val="20"/>
        </w:rPr>
        <w:t>Ustawienie krawężników na ławie żwirowej lub tłuczniowej</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Ustawianie krawężników na ławie żwirowej i tłuczniowej powinno być wykonywane na podsypce z piasku o grubości warstwy od 3 do 5 cm po zagęszczeniu.</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5.5.3. </w:t>
      </w:r>
      <w:r w:rsidRPr="007078D3">
        <w:rPr>
          <w:rFonts w:ascii="Times New Roman" w:hAnsi="Times New Roman" w:cs="Times New Roman"/>
          <w:color w:val="000000"/>
          <w:szCs w:val="20"/>
        </w:rPr>
        <w:t>Ustawienie krawężników na ławie betonowej</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Ustawianie krawężników na ławie betonowej wykonuje się  na podsypce cementowo-piaskowej o grubości 3 do 5 cm po zagęszczeniu.</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5.5.4. </w:t>
      </w:r>
      <w:r w:rsidRPr="007078D3">
        <w:rPr>
          <w:rFonts w:ascii="Times New Roman" w:hAnsi="Times New Roman" w:cs="Times New Roman"/>
          <w:color w:val="000000"/>
          <w:szCs w:val="20"/>
        </w:rPr>
        <w:t>Wypełnianie spoin</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Spoiny krawężników nie powinny przekraczać szerokości 1 cm. Spoiny należy wypełnić piaskiem w przypadku ławy kruszywowej na podsypce piaskowej lub zaprawą cementowo-piaskową, przygotowaną w stosunku 1:2 w przypadku zastosowania ławy betonowej.</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Spoiny krawężników przed zalaniem zaprawą należy oczyścić i zmyć wodą.</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W przypadku krawężników ustawionych na podsypce cementowo-piaskowej i o spoinach wypełnionych zaprawą, w celu zabezpieczenia przed wpływami temperatury należy co 50 m nad szczeliną dylatacyjną ławy wykonać spoinę wypełnioną masą zalewową. Należy zwracać uwagę, aby podczas wypełniania szczelin nie dopuścić do wypływania zalewy i  do zabrudzenia powierzchni krawężnika.</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5.6. Roboty wykończeniowe</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Roboty wykończeniowe powinny być zgodne z dokumentacją projektową i ST. Do robót wykończeniowych należą prace związane z dostosowaniem wykonanych robót do istniejących warunków terenowych, takie jak:</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odtworzenie elementów czasowo usuniętych,</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roboty porządkujące otoczenie terenu robót.</w:t>
      </w:r>
    </w:p>
    <w:p w:rsidR="007D7DA5" w:rsidRPr="007078D3" w:rsidRDefault="007D7DA5" w:rsidP="00ED04E8">
      <w:pPr>
        <w:pStyle w:val="Nagwek1"/>
        <w:spacing w:before="0" w:beforeAutospacing="0" w:after="0" w:afterAutospacing="0"/>
        <w:jc w:val="both"/>
        <w:rPr>
          <w:rFonts w:ascii="Times New Roman" w:hAnsi="Times New Roman"/>
          <w:caps/>
          <w:color w:val="000000"/>
          <w:szCs w:val="20"/>
        </w:rPr>
      </w:pPr>
      <w:bookmarkStart w:id="1339" w:name="_Toc2587777"/>
      <w:r w:rsidRPr="007078D3">
        <w:rPr>
          <w:rFonts w:ascii="Times New Roman" w:hAnsi="Times New Roman"/>
          <w:caps/>
          <w:color w:val="000000"/>
          <w:szCs w:val="20"/>
        </w:rPr>
        <w:t>6. KONTROLA JAKOŚCI ROBÓT</w:t>
      </w:r>
      <w:bookmarkEnd w:id="1339"/>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6.1. Ogólne zasady kontroli jakości robót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kontroli jakości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[1] pkt 6.</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6.2. Badania przed przystąpieniem do robót</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Przed przystąpieniem do robót Wykonawca powinien:</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         uzyskać wymagane dokumenty, dopuszczające wyroby budowlane do obrotu i powszechnego stosowania (np. stwierdzenie o oznakowaniu materiału znakiem CE lub znakiem budowlanym B, deklarację właściwości użytkowych, krajową lub europejską ocenę techniczną), ew. badania materiałów wykonane przez dostawców itp.,</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         sprawdzić parametry krawężników pod względem zgodności z wymaganiami ST i dokumentacji projektowej,</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         sprawdzić cechy zewnętrzne krawężników.</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         ew. wykonać własne badania właściwości materiałów przeznaczonych do wykonania robót, określone przez Inżyniera,</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Wszystkie dokumenty oraz wyniki badań Wykonawca przedstawia Inżynierowi do akceptacji.</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Sprawdzenie wyglądu zewnętrznego krawężników należy przeprowadzić na podstawie oględzin elementu przez pomiar i ocenę uszkodzeń występujących na powierzchniach i krawędziach elementu zgodnie z wymaganiami tabeli 1 i ustaleniami PN-EN 1340 [3].</w:t>
      </w:r>
    </w:p>
    <w:p w:rsidR="007D7DA5" w:rsidRPr="007078D3" w:rsidRDefault="007D7DA5" w:rsidP="00ED04E8">
      <w:pPr>
        <w:ind w:firstLine="709"/>
        <w:rPr>
          <w:rFonts w:ascii="Times New Roman" w:hAnsi="Times New Roman" w:cs="Times New Roman"/>
          <w:color w:val="000000"/>
          <w:szCs w:val="20"/>
        </w:rPr>
      </w:pPr>
      <w:r w:rsidRPr="007078D3">
        <w:rPr>
          <w:rFonts w:ascii="Times New Roman" w:hAnsi="Times New Roman" w:cs="Times New Roman"/>
          <w:color w:val="000000"/>
          <w:szCs w:val="20"/>
        </w:rPr>
        <w:t>Badania pozostałych materiałów stosowanych przy ustawianiu krawężników betonowych powinny obejmować właściwości określone w normach, podanych dla odpowiednich materiałów w pkcie 2.</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6.3. Badania w czasie robót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6.3.1. </w:t>
      </w:r>
      <w:r w:rsidRPr="007078D3">
        <w:rPr>
          <w:rFonts w:ascii="Times New Roman" w:hAnsi="Times New Roman" w:cs="Times New Roman"/>
          <w:color w:val="000000"/>
          <w:szCs w:val="20"/>
        </w:rPr>
        <w:t>Sprawdzenie koryta pod ławę</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Należy sprawdzać wymiary koryta oraz zagęszczenie podłoża na dnie wykopu.</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Tolerancja dla szerokości wykopu wynosi ± 2 cm. Zagęszczenie podłoża powinno być zgodne z pktem 5.4.1.</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6.3.2. </w:t>
      </w:r>
      <w:r w:rsidRPr="007078D3">
        <w:rPr>
          <w:rFonts w:ascii="Times New Roman" w:hAnsi="Times New Roman" w:cs="Times New Roman"/>
          <w:color w:val="000000"/>
          <w:szCs w:val="20"/>
        </w:rPr>
        <w:t>Sprawdzenie ław</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Przy wykonywaniu ław badaniu podlegają:</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a)      zgodność profilu podłużnego górnej powierzchni ław z dokumentacją projektową</w:t>
      </w:r>
    </w:p>
    <w:p w:rsidR="007D7DA5" w:rsidRPr="007078D3" w:rsidRDefault="007D7DA5" w:rsidP="00ED04E8">
      <w:pPr>
        <w:ind w:left="426"/>
        <w:rPr>
          <w:rFonts w:ascii="Times New Roman" w:hAnsi="Times New Roman" w:cs="Times New Roman"/>
          <w:color w:val="000000"/>
          <w:szCs w:val="20"/>
        </w:rPr>
      </w:pPr>
      <w:r w:rsidRPr="007078D3">
        <w:rPr>
          <w:rFonts w:ascii="Times New Roman" w:hAnsi="Times New Roman" w:cs="Times New Roman"/>
          <w:color w:val="000000"/>
          <w:szCs w:val="20"/>
        </w:rPr>
        <w:lastRenderedPageBreak/>
        <w:t>Profil podłużny górnej powierzchni ławy powinien być zgodny z projektowaną niweletą. Dopuszczalne odchylenia mogą wynosić ± 1 cm na każde 100 m ławy,</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b)      Ustawienie szalunku dla wykonania ławy betonowej z oporem</w:t>
      </w:r>
    </w:p>
    <w:p w:rsidR="007D7DA5" w:rsidRPr="007078D3" w:rsidRDefault="007D7DA5" w:rsidP="00ED04E8">
      <w:pPr>
        <w:ind w:left="426"/>
        <w:rPr>
          <w:rFonts w:ascii="Times New Roman" w:hAnsi="Times New Roman" w:cs="Times New Roman"/>
          <w:color w:val="000000"/>
          <w:szCs w:val="20"/>
        </w:rPr>
      </w:pPr>
      <w:r w:rsidRPr="007078D3">
        <w:rPr>
          <w:rFonts w:ascii="Times New Roman" w:hAnsi="Times New Roman" w:cs="Times New Roman"/>
          <w:color w:val="000000"/>
          <w:szCs w:val="20"/>
        </w:rPr>
        <w:t>Wymiary szalunku pod ławę betonowa z oporem należy sprawdzić minimum w dwóch oddalonych od siebie, wybranych punktach na każde 100 m ławy betonowej z oporem,</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c)      wymiary ław</w:t>
      </w:r>
    </w:p>
    <w:p w:rsidR="007D7DA5" w:rsidRPr="007078D3" w:rsidRDefault="007D7DA5" w:rsidP="00ED04E8">
      <w:pPr>
        <w:ind w:left="426" w:hanging="1"/>
        <w:rPr>
          <w:rFonts w:ascii="Times New Roman" w:hAnsi="Times New Roman" w:cs="Times New Roman"/>
          <w:color w:val="000000"/>
          <w:szCs w:val="20"/>
        </w:rPr>
      </w:pPr>
      <w:r w:rsidRPr="007078D3">
        <w:rPr>
          <w:rFonts w:ascii="Times New Roman" w:hAnsi="Times New Roman" w:cs="Times New Roman"/>
          <w:color w:val="000000"/>
          <w:szCs w:val="20"/>
        </w:rPr>
        <w:t>     Wymiary ław należy sprawdzić w dwóch dowolnie wybranych punktach na każde  100 m ławy. Tolerancje wymiarów wynoszą:</w:t>
      </w:r>
    </w:p>
    <w:p w:rsidR="007D7DA5" w:rsidRPr="007078D3" w:rsidRDefault="007D7DA5" w:rsidP="00ED04E8">
      <w:pPr>
        <w:ind w:left="426" w:hanging="1"/>
        <w:rPr>
          <w:rFonts w:ascii="Times New Roman" w:hAnsi="Times New Roman" w:cs="Times New Roman"/>
          <w:color w:val="000000"/>
          <w:szCs w:val="20"/>
        </w:rPr>
      </w:pPr>
      <w:r w:rsidRPr="007078D3">
        <w:rPr>
          <w:rFonts w:ascii="Times New Roman" w:hAnsi="Times New Roman" w:cs="Times New Roman"/>
          <w:color w:val="000000"/>
          <w:szCs w:val="20"/>
        </w:rPr>
        <w:t>     - dla wysokości  ± 10% wysokości projektowanej,</w:t>
      </w:r>
    </w:p>
    <w:p w:rsidR="007D7DA5" w:rsidRPr="007078D3" w:rsidRDefault="007D7DA5" w:rsidP="00ED04E8">
      <w:pPr>
        <w:ind w:left="426" w:hanging="1"/>
        <w:rPr>
          <w:rFonts w:ascii="Times New Roman" w:hAnsi="Times New Roman" w:cs="Times New Roman"/>
          <w:color w:val="000000"/>
          <w:szCs w:val="20"/>
        </w:rPr>
      </w:pPr>
      <w:r w:rsidRPr="007078D3">
        <w:rPr>
          <w:rFonts w:ascii="Times New Roman" w:hAnsi="Times New Roman" w:cs="Times New Roman"/>
          <w:color w:val="000000"/>
          <w:szCs w:val="20"/>
        </w:rPr>
        <w:t>     - dla szerokości  ± 10% szerokości projektowanej,</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d)     równość górnej powierzchni ław</w:t>
      </w:r>
    </w:p>
    <w:p w:rsidR="007D7DA5" w:rsidRPr="007078D3" w:rsidRDefault="007D7DA5" w:rsidP="00ED04E8">
      <w:pPr>
        <w:ind w:left="426"/>
        <w:rPr>
          <w:rFonts w:ascii="Times New Roman" w:hAnsi="Times New Roman" w:cs="Times New Roman"/>
          <w:color w:val="000000"/>
          <w:szCs w:val="20"/>
        </w:rPr>
      </w:pPr>
      <w:r w:rsidRPr="007078D3">
        <w:rPr>
          <w:rFonts w:ascii="Times New Roman" w:hAnsi="Times New Roman" w:cs="Times New Roman"/>
          <w:color w:val="000000"/>
          <w:szCs w:val="20"/>
        </w:rPr>
        <w:t>Równość górnej powierzchni ławy sprawdza się przez przyłożenie w dwóch punktach, na każde 100 m ławy, trzymetrowej łaty. Prześwit pomiędzy górną powierzchnią ławy i przyłożoną łatą nie może przekraczać 1 cm,</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e)      zagęszczenie ław z kruszyw</w:t>
      </w:r>
    </w:p>
    <w:p w:rsidR="007D7DA5" w:rsidRPr="007078D3" w:rsidRDefault="007D7DA5" w:rsidP="00ED04E8">
      <w:pPr>
        <w:ind w:left="426"/>
        <w:rPr>
          <w:rFonts w:ascii="Times New Roman" w:hAnsi="Times New Roman" w:cs="Times New Roman"/>
          <w:color w:val="000000"/>
          <w:szCs w:val="20"/>
        </w:rPr>
      </w:pPr>
      <w:r w:rsidRPr="007078D3">
        <w:rPr>
          <w:rFonts w:ascii="Times New Roman" w:hAnsi="Times New Roman" w:cs="Times New Roman"/>
          <w:color w:val="000000"/>
          <w:szCs w:val="20"/>
        </w:rPr>
        <w:t>Zagęszczenie ław bada się w dwóch przekrojach na każde 100 m. Ławy ze żwiru lub piasku nie mogą wykazywać śladu urządzenia zagęszczającego.</w:t>
      </w:r>
    </w:p>
    <w:p w:rsidR="007D7DA5" w:rsidRPr="007078D3" w:rsidRDefault="007D7DA5" w:rsidP="00ED04E8">
      <w:pPr>
        <w:ind w:left="426"/>
        <w:rPr>
          <w:rFonts w:ascii="Times New Roman" w:hAnsi="Times New Roman" w:cs="Times New Roman"/>
          <w:color w:val="000000"/>
          <w:szCs w:val="20"/>
        </w:rPr>
      </w:pPr>
      <w:r w:rsidRPr="007078D3">
        <w:rPr>
          <w:rFonts w:ascii="Times New Roman" w:hAnsi="Times New Roman" w:cs="Times New Roman"/>
          <w:color w:val="000000"/>
          <w:szCs w:val="20"/>
        </w:rPr>
        <w:t>Ławy z tłucznia, badane próbą wyjęcia poszczególnych ziarn tłucznia, nie powinny pozwalać na wyjęcie ziarna z ławy,</w:t>
      </w:r>
    </w:p>
    <w:p w:rsidR="007D7DA5" w:rsidRPr="007078D3" w:rsidRDefault="007D7DA5" w:rsidP="00ED04E8">
      <w:pPr>
        <w:ind w:left="426" w:hanging="360"/>
        <w:rPr>
          <w:rFonts w:ascii="Times New Roman" w:hAnsi="Times New Roman" w:cs="Times New Roman"/>
          <w:color w:val="000000"/>
          <w:szCs w:val="20"/>
        </w:rPr>
      </w:pPr>
      <w:r w:rsidRPr="007078D3">
        <w:rPr>
          <w:rFonts w:ascii="Times New Roman" w:hAnsi="Times New Roman" w:cs="Times New Roman"/>
          <w:color w:val="000000"/>
          <w:szCs w:val="20"/>
        </w:rPr>
        <w:t>f)       odchylenie linii ław od projektowanego kierunku</w:t>
      </w:r>
    </w:p>
    <w:p w:rsidR="007D7DA5" w:rsidRPr="007078D3" w:rsidRDefault="007D7DA5" w:rsidP="00ED04E8">
      <w:pPr>
        <w:ind w:left="426"/>
        <w:rPr>
          <w:rFonts w:ascii="Times New Roman" w:hAnsi="Times New Roman" w:cs="Times New Roman"/>
          <w:color w:val="000000"/>
          <w:szCs w:val="20"/>
        </w:rPr>
      </w:pPr>
      <w:r w:rsidRPr="007078D3">
        <w:rPr>
          <w:rFonts w:ascii="Times New Roman" w:hAnsi="Times New Roman" w:cs="Times New Roman"/>
          <w:color w:val="000000"/>
          <w:szCs w:val="20"/>
        </w:rPr>
        <w:t>Dopuszczalne odchylenie linii ław od projektowanego kierunku nie może przekraczać  ± 2 cm na każde 100 m wykonanej ławy.</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b/>
          <w:bCs/>
          <w:color w:val="000000"/>
          <w:szCs w:val="20"/>
        </w:rPr>
        <w:t>6.3.3. </w:t>
      </w:r>
      <w:r w:rsidRPr="007078D3">
        <w:rPr>
          <w:rFonts w:ascii="Times New Roman" w:hAnsi="Times New Roman" w:cs="Times New Roman"/>
          <w:color w:val="000000"/>
          <w:szCs w:val="20"/>
        </w:rPr>
        <w:t>Sprawdzenie ustawienia krawężników</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Przy ustawianiu krawężników należy sprawdzać:</w:t>
      </w:r>
    </w:p>
    <w:p w:rsidR="007D7DA5" w:rsidRPr="007078D3" w:rsidRDefault="007D7DA5" w:rsidP="00ED04E8">
      <w:pPr>
        <w:ind w:left="397" w:hanging="397"/>
        <w:rPr>
          <w:rFonts w:ascii="Times New Roman" w:hAnsi="Times New Roman" w:cs="Times New Roman"/>
          <w:color w:val="000000"/>
          <w:szCs w:val="20"/>
        </w:rPr>
      </w:pPr>
      <w:r w:rsidRPr="007078D3">
        <w:rPr>
          <w:rFonts w:ascii="Times New Roman" w:hAnsi="Times New Roman" w:cs="Times New Roman"/>
          <w:color w:val="000000"/>
          <w:szCs w:val="20"/>
        </w:rPr>
        <w:t>a)       dopuszczalne odchylenia linii krawężników w poziomie od linii projektowanej, które wynosi ± 1 cm na każde 100 m ustawionego krawężnika,</w:t>
      </w:r>
    </w:p>
    <w:p w:rsidR="007D7DA5" w:rsidRPr="007078D3" w:rsidRDefault="007D7DA5" w:rsidP="00ED04E8">
      <w:pPr>
        <w:ind w:left="397" w:hanging="397"/>
        <w:rPr>
          <w:rFonts w:ascii="Times New Roman" w:hAnsi="Times New Roman" w:cs="Times New Roman"/>
          <w:color w:val="000000"/>
          <w:szCs w:val="20"/>
        </w:rPr>
      </w:pPr>
      <w:r w:rsidRPr="007078D3">
        <w:rPr>
          <w:rFonts w:ascii="Times New Roman" w:hAnsi="Times New Roman" w:cs="Times New Roman"/>
          <w:color w:val="000000"/>
          <w:szCs w:val="20"/>
        </w:rPr>
        <w:t>b)       dopuszczalne odchylenie niwelety górnej płaszczyzny krawężnika od niwelety projektowanej, które wynosi ± 1 cm na każde 100 m ustawionego krawężnika,</w:t>
      </w:r>
    </w:p>
    <w:p w:rsidR="007D7DA5" w:rsidRPr="007078D3" w:rsidRDefault="007D7DA5" w:rsidP="00ED04E8">
      <w:pPr>
        <w:ind w:left="397" w:hanging="397"/>
        <w:rPr>
          <w:rFonts w:ascii="Times New Roman" w:hAnsi="Times New Roman" w:cs="Times New Roman"/>
          <w:color w:val="000000"/>
          <w:szCs w:val="20"/>
        </w:rPr>
      </w:pPr>
      <w:r w:rsidRPr="007078D3">
        <w:rPr>
          <w:rFonts w:ascii="Times New Roman" w:hAnsi="Times New Roman" w:cs="Times New Roman"/>
          <w:color w:val="000000"/>
          <w:szCs w:val="20"/>
        </w:rPr>
        <w:t>c)       równość górnej powierzchni krawężników, sprawdzane przez przyłożenie w dwóch punktach na każde 100 m krawężnika trzymetrowej łaty, przy czym prześwit pomiędzy górną powierzchnią krawężnika i przyłożoną łatą nie może przekraczać 1 cm,</w:t>
      </w:r>
    </w:p>
    <w:p w:rsidR="007D7DA5" w:rsidRPr="007078D3" w:rsidRDefault="007D7DA5" w:rsidP="00ED04E8">
      <w:pPr>
        <w:ind w:left="397" w:hanging="397"/>
        <w:rPr>
          <w:rFonts w:ascii="Times New Roman" w:hAnsi="Times New Roman" w:cs="Times New Roman"/>
          <w:color w:val="000000"/>
          <w:szCs w:val="20"/>
        </w:rPr>
      </w:pPr>
      <w:r w:rsidRPr="007078D3">
        <w:rPr>
          <w:rFonts w:ascii="Times New Roman" w:hAnsi="Times New Roman" w:cs="Times New Roman"/>
          <w:color w:val="000000"/>
          <w:szCs w:val="20"/>
        </w:rPr>
        <w:t>d)      dokładność wypełnienia spoin bada się co 10 metrów. Spoiny muszą być wypełnione całkowicie na pełną głębokość.</w:t>
      </w:r>
    </w:p>
    <w:p w:rsidR="007D7DA5" w:rsidRPr="007078D3" w:rsidRDefault="007D7DA5" w:rsidP="00ED04E8">
      <w:pPr>
        <w:pStyle w:val="Nagwek1"/>
        <w:spacing w:before="0" w:beforeAutospacing="0" w:after="0" w:afterAutospacing="0"/>
        <w:jc w:val="both"/>
        <w:rPr>
          <w:rFonts w:ascii="Times New Roman" w:hAnsi="Times New Roman"/>
          <w:caps/>
          <w:color w:val="000000"/>
          <w:szCs w:val="20"/>
        </w:rPr>
      </w:pPr>
      <w:bookmarkStart w:id="1340" w:name="_Toc2587778"/>
      <w:r w:rsidRPr="007078D3">
        <w:rPr>
          <w:rFonts w:ascii="Times New Roman" w:hAnsi="Times New Roman"/>
          <w:caps/>
          <w:color w:val="000000"/>
          <w:szCs w:val="20"/>
        </w:rPr>
        <w:t>7. OBMIAR ROBÓT</w:t>
      </w:r>
      <w:bookmarkEnd w:id="1340"/>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7.1. Ogólne zasady obmiaru robót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obmiaru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[1] pkt 7.</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7.2. Jednostka obmiarowa</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Jednostką obmiarową jest m (metr) ustawionego krawężnika.</w:t>
      </w:r>
    </w:p>
    <w:p w:rsidR="007D7DA5" w:rsidRPr="007078D3" w:rsidRDefault="007D7DA5" w:rsidP="00ED04E8">
      <w:pPr>
        <w:pStyle w:val="Nagwek1"/>
        <w:spacing w:before="0" w:beforeAutospacing="0" w:after="0" w:afterAutospacing="0"/>
        <w:jc w:val="both"/>
        <w:rPr>
          <w:rFonts w:ascii="Times New Roman" w:hAnsi="Times New Roman"/>
          <w:caps/>
          <w:color w:val="000000"/>
          <w:szCs w:val="20"/>
        </w:rPr>
      </w:pPr>
      <w:bookmarkStart w:id="1341" w:name="_Toc2587779"/>
      <w:r w:rsidRPr="007078D3">
        <w:rPr>
          <w:rFonts w:ascii="Times New Roman" w:hAnsi="Times New Roman"/>
          <w:caps/>
          <w:color w:val="000000"/>
          <w:szCs w:val="20"/>
        </w:rPr>
        <w:t>8. ODBIÓR ROBÓT</w:t>
      </w:r>
      <w:bookmarkEnd w:id="1341"/>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8.1. Ogólne zasady odbioru robót</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zasady odbioru robót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D-M-00.00.00 „Wymagania ogólne” [1] pkt 8.</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Roboty uznaje się za wykonane zgodnie z dokumentacją projektową, ST i wymaganiami Inżyniera, jeżeli wszystkie pomiary i badania z zachowaniem tolerancji według pktu 6 dały wyniki pozytywne.</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8.2. Odbiór robót zanikających i ulegających zakryciu</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Odbiorowi robót zanikających i ulegających zakryciu podlegają:</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wykonanie koryta pod ławę,</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wykonanie ławy,</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wykonanie podsypki.</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Odbiór tych robót powinien być zgodny z wymaganiami pktu 8.2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[1] oraz niniejszej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w:t>
      </w:r>
    </w:p>
    <w:p w:rsidR="007D7DA5" w:rsidRPr="007078D3" w:rsidRDefault="007D7DA5" w:rsidP="00ED04E8">
      <w:pPr>
        <w:pStyle w:val="Nagwek1"/>
        <w:spacing w:before="0" w:beforeAutospacing="0" w:after="0" w:afterAutospacing="0"/>
        <w:jc w:val="both"/>
        <w:rPr>
          <w:rFonts w:ascii="Times New Roman" w:hAnsi="Times New Roman"/>
          <w:caps/>
          <w:color w:val="000000"/>
          <w:szCs w:val="20"/>
        </w:rPr>
      </w:pPr>
      <w:bookmarkStart w:id="1342" w:name="_Toc2587780"/>
      <w:r w:rsidRPr="007078D3">
        <w:rPr>
          <w:rFonts w:ascii="Times New Roman" w:hAnsi="Times New Roman"/>
          <w:caps/>
          <w:color w:val="000000"/>
          <w:szCs w:val="20"/>
        </w:rPr>
        <w:t>9. PODSTAWA PŁATNOŚCI</w:t>
      </w:r>
      <w:bookmarkEnd w:id="1342"/>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9.1. Ogólne ustalenia dotyczące podstawy płatności</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Ogólne ustalenia dotyczące podstawy płatności podano w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D-M-00.00.00 „Wymagania ogólne” pkt 9.</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9.2. Cena jednostki obmiarowej</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Cena ustawienia 1 m krawężnika obejmuje:</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prace pomiarowe i roboty przygotowawcze,</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oznakowanie robót,</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przygotowanie podłoża,</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dostarczenie materiałów i sprzętu,</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wykonanie koryta pod ławę,</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wykonanie ławy z ewentualnym wykonaniem szalunku i zalaniem szczelin dylatacyjnych,</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wykonanie podsypki,</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ustawienie krawężników z wypełnieniem spoin i zalaniem szczelin według wymagań dokumentacji projektowej i ST,</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t>–      przeprowadzenie pomiarów i badań wymaganych w specyfikacji technicznej,</w:t>
      </w:r>
    </w:p>
    <w:p w:rsidR="007D7DA5" w:rsidRPr="007078D3" w:rsidRDefault="007D7DA5" w:rsidP="00ED04E8">
      <w:pPr>
        <w:ind w:left="284" w:hanging="284"/>
        <w:rPr>
          <w:rFonts w:ascii="Times New Roman" w:hAnsi="Times New Roman" w:cs="Times New Roman"/>
          <w:color w:val="000000"/>
          <w:szCs w:val="20"/>
        </w:rPr>
      </w:pPr>
      <w:r w:rsidRPr="007078D3">
        <w:rPr>
          <w:rFonts w:ascii="Times New Roman" w:hAnsi="Times New Roman" w:cs="Times New Roman"/>
          <w:color w:val="000000"/>
          <w:szCs w:val="20"/>
        </w:rPr>
        <w:lastRenderedPageBreak/>
        <w:t>–      odwiezienie sprzętu.</w:t>
      </w:r>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9.3. Sposób rozliczenia robót tymczasowych i prac towarzyszących</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xml:space="preserve">            Cena wykonania robót określonych niniejszą </w:t>
      </w:r>
      <w:r w:rsidR="00985629">
        <w:rPr>
          <w:rFonts w:ascii="Times New Roman" w:hAnsi="Times New Roman" w:cs="Times New Roman"/>
          <w:color w:val="000000"/>
          <w:szCs w:val="20"/>
        </w:rPr>
        <w:t>SST</w:t>
      </w:r>
      <w:r w:rsidRPr="007078D3">
        <w:rPr>
          <w:rFonts w:ascii="Times New Roman" w:hAnsi="Times New Roman" w:cs="Times New Roman"/>
          <w:color w:val="000000"/>
          <w:szCs w:val="20"/>
        </w:rPr>
        <w:t xml:space="preserve"> obejmuje:</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roboty tymczasowe, które są potrzebne do wykonania robót podstawowych, ale nie są przekazywane Zamawiającemu i są usuwane po wykonaniu robót podstawowych,</w:t>
      </w:r>
    </w:p>
    <w:p w:rsidR="007D7DA5" w:rsidRPr="007078D3" w:rsidRDefault="007D7DA5" w:rsidP="00ED04E8">
      <w:pPr>
        <w:ind w:left="283" w:hanging="283"/>
        <w:rPr>
          <w:rFonts w:ascii="Times New Roman" w:hAnsi="Times New Roman" w:cs="Times New Roman"/>
          <w:color w:val="000000"/>
          <w:szCs w:val="20"/>
        </w:rPr>
      </w:pPr>
      <w:r w:rsidRPr="007078D3">
        <w:rPr>
          <w:rFonts w:ascii="Times New Roman" w:hAnsi="Times New Roman" w:cs="Times New Roman"/>
          <w:color w:val="000000"/>
          <w:szCs w:val="20"/>
        </w:rPr>
        <w:t>-      prace towarzyszące, które są niezbędne do wykonania robót podstawowych, niezaliczane do robót tymczasowych, jak geodezyjne wytyczenie robót itd.</w:t>
      </w:r>
    </w:p>
    <w:p w:rsidR="007D7DA5" w:rsidRPr="007078D3" w:rsidRDefault="007D7DA5" w:rsidP="00ED04E8">
      <w:pPr>
        <w:pStyle w:val="Nagwek1"/>
        <w:spacing w:before="0" w:beforeAutospacing="0" w:after="0" w:afterAutospacing="0"/>
        <w:jc w:val="both"/>
        <w:rPr>
          <w:rFonts w:ascii="Times New Roman" w:hAnsi="Times New Roman"/>
          <w:caps/>
          <w:color w:val="000000"/>
          <w:szCs w:val="20"/>
        </w:rPr>
      </w:pPr>
      <w:bookmarkStart w:id="1343" w:name="_Toc2587781"/>
      <w:r w:rsidRPr="007078D3">
        <w:rPr>
          <w:rFonts w:ascii="Times New Roman" w:hAnsi="Times New Roman"/>
          <w:caps/>
          <w:color w:val="000000"/>
          <w:szCs w:val="20"/>
        </w:rPr>
        <w:t>10. PRZEPISY ZWIĄZANE</w:t>
      </w:r>
      <w:bookmarkEnd w:id="1343"/>
    </w:p>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10.1. Ogólne specyfikacje techniczne (</w:t>
      </w:r>
      <w:r w:rsidR="00985629">
        <w:rPr>
          <w:rFonts w:ascii="Times New Roman" w:hAnsi="Times New Roman"/>
          <w:color w:val="000000"/>
          <w:szCs w:val="20"/>
        </w:rPr>
        <w:t>SST</w:t>
      </w:r>
      <w:r w:rsidRPr="007078D3">
        <w:rPr>
          <w:rFonts w:ascii="Times New Roman" w:hAnsi="Times New Roman"/>
          <w:color w:val="000000"/>
          <w:szCs w:val="20"/>
        </w:rPr>
        <w:t>)</w:t>
      </w:r>
    </w:p>
    <w:tbl>
      <w:tblPr>
        <w:tblW w:w="0" w:type="auto"/>
        <w:shd w:val="clear" w:color="auto" w:fill="EAEAEA"/>
        <w:tblCellMar>
          <w:left w:w="0" w:type="dxa"/>
          <w:right w:w="0" w:type="dxa"/>
        </w:tblCellMar>
        <w:tblLook w:val="04A0"/>
      </w:tblPr>
      <w:tblGrid>
        <w:gridCol w:w="637"/>
        <w:gridCol w:w="2553"/>
        <w:gridCol w:w="5640"/>
      </w:tblGrid>
      <w:tr w:rsidR="007D7DA5" w:rsidRPr="007078D3" w:rsidTr="007D7DA5">
        <w:tc>
          <w:tcPr>
            <w:tcW w:w="637" w:type="dxa"/>
            <w:shd w:val="clear" w:color="auto" w:fill="EAEAEA"/>
            <w:tcMar>
              <w:top w:w="0" w:type="dxa"/>
              <w:left w:w="70" w:type="dxa"/>
              <w:bottom w:w="0" w:type="dxa"/>
              <w:right w:w="70"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w:t>
            </w:r>
          </w:p>
        </w:tc>
        <w:tc>
          <w:tcPr>
            <w:tcW w:w="2553" w:type="dxa"/>
            <w:shd w:val="clear" w:color="auto" w:fill="EAEAEA"/>
            <w:tcMar>
              <w:top w:w="0" w:type="dxa"/>
              <w:left w:w="70" w:type="dxa"/>
              <w:bottom w:w="0" w:type="dxa"/>
              <w:right w:w="70"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D-M-00.00.00</w:t>
            </w:r>
          </w:p>
        </w:tc>
        <w:tc>
          <w:tcPr>
            <w:tcW w:w="5640" w:type="dxa"/>
            <w:shd w:val="clear" w:color="auto" w:fill="EAEAEA"/>
            <w:tcMar>
              <w:top w:w="0" w:type="dxa"/>
              <w:left w:w="70" w:type="dxa"/>
              <w:bottom w:w="0" w:type="dxa"/>
              <w:right w:w="70"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Wymagania ogólne</w:t>
            </w:r>
          </w:p>
        </w:tc>
      </w:tr>
    </w:tbl>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10.2. Normy</w:t>
      </w:r>
    </w:p>
    <w:tbl>
      <w:tblPr>
        <w:tblW w:w="8868" w:type="dxa"/>
        <w:shd w:val="clear" w:color="auto" w:fill="EAEAEA"/>
        <w:tblCellMar>
          <w:left w:w="0" w:type="dxa"/>
          <w:right w:w="0" w:type="dxa"/>
        </w:tblCellMar>
        <w:tblLook w:val="04A0"/>
      </w:tblPr>
      <w:tblGrid>
        <w:gridCol w:w="675"/>
        <w:gridCol w:w="2553"/>
        <w:gridCol w:w="5640"/>
      </w:tblGrid>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w:t>
            </w:r>
          </w:p>
        </w:tc>
        <w:tc>
          <w:tcPr>
            <w:tcW w:w="255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PN-EN 206</w:t>
            </w:r>
          </w:p>
        </w:tc>
        <w:tc>
          <w:tcPr>
            <w:tcW w:w="5640"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Beton - Wymagania, właściwości, produkcja i zgodność</w:t>
            </w:r>
          </w:p>
        </w:tc>
      </w:tr>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3.</w:t>
            </w:r>
          </w:p>
        </w:tc>
        <w:tc>
          <w:tcPr>
            <w:tcW w:w="255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lang w:val="en-US"/>
              </w:rPr>
              <w:t>PN-EN 1340</w:t>
            </w:r>
          </w:p>
        </w:tc>
        <w:tc>
          <w:tcPr>
            <w:tcW w:w="5640"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Krawężniki betonowe - Wymagania i metody badań</w:t>
            </w:r>
          </w:p>
        </w:tc>
      </w:tr>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4.</w:t>
            </w:r>
          </w:p>
        </w:tc>
        <w:tc>
          <w:tcPr>
            <w:tcW w:w="255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PN-EN 1008:2004</w:t>
            </w:r>
          </w:p>
        </w:tc>
        <w:tc>
          <w:tcPr>
            <w:tcW w:w="5640"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Woda zarobowa do betonu -- Specyfikacja pobierania próbek, badanie i ocena przydatności wody zarobowej do betonu, w tym wody odzyskanej z procesów produkcji betonu</w:t>
            </w:r>
          </w:p>
        </w:tc>
      </w:tr>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5.</w:t>
            </w:r>
          </w:p>
        </w:tc>
        <w:tc>
          <w:tcPr>
            <w:tcW w:w="255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PN-EN 13242</w:t>
            </w:r>
          </w:p>
        </w:tc>
        <w:tc>
          <w:tcPr>
            <w:tcW w:w="5640"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Kruszywa do niezwiązanych i związanych hydraulicznie materiałów stosowanych w obiektach budowlanych i budownictwie drogowym</w:t>
            </w:r>
          </w:p>
        </w:tc>
      </w:tr>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6.</w:t>
            </w:r>
          </w:p>
        </w:tc>
        <w:tc>
          <w:tcPr>
            <w:tcW w:w="255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PN-EN14188-1</w:t>
            </w:r>
          </w:p>
        </w:tc>
        <w:tc>
          <w:tcPr>
            <w:tcW w:w="5640"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Wypełniacze szczelin i zalewy drogowe -- Część 1: Wymagania wobec zalew drogowych na gorąco</w:t>
            </w:r>
          </w:p>
        </w:tc>
      </w:tr>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7.</w:t>
            </w:r>
          </w:p>
        </w:tc>
        <w:tc>
          <w:tcPr>
            <w:tcW w:w="255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PN-EN 14188-2</w:t>
            </w:r>
          </w:p>
        </w:tc>
        <w:tc>
          <w:tcPr>
            <w:tcW w:w="5640"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Wypełniacze szczelin i zalewy drogowe -- Część 2: Wymagania wobec zalew drogowych na zimno</w:t>
            </w:r>
          </w:p>
        </w:tc>
      </w:tr>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8.</w:t>
            </w:r>
          </w:p>
        </w:tc>
        <w:tc>
          <w:tcPr>
            <w:tcW w:w="255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PN-EN 197-1</w:t>
            </w:r>
          </w:p>
        </w:tc>
        <w:tc>
          <w:tcPr>
            <w:tcW w:w="5640"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Cement - Część 1: Skład, wymagania i kryteria zgodności dotyczące cementu powszechnego użytku</w:t>
            </w:r>
          </w:p>
        </w:tc>
      </w:tr>
    </w:tbl>
    <w:p w:rsidR="007D7DA5" w:rsidRPr="007078D3" w:rsidRDefault="007D7DA5" w:rsidP="00ED04E8">
      <w:pPr>
        <w:pStyle w:val="Nagwek2"/>
        <w:spacing w:before="0" w:beforeAutospacing="0" w:after="0" w:afterAutospacing="0"/>
        <w:jc w:val="both"/>
        <w:rPr>
          <w:rFonts w:ascii="Times New Roman" w:hAnsi="Times New Roman"/>
          <w:color w:val="000000"/>
          <w:szCs w:val="20"/>
        </w:rPr>
      </w:pPr>
      <w:r w:rsidRPr="007078D3">
        <w:rPr>
          <w:rFonts w:ascii="Times New Roman" w:hAnsi="Times New Roman"/>
          <w:color w:val="000000"/>
          <w:szCs w:val="20"/>
        </w:rPr>
        <w:t>10.3. Inne dokumenty</w:t>
      </w:r>
    </w:p>
    <w:tbl>
      <w:tblPr>
        <w:tblW w:w="0" w:type="auto"/>
        <w:shd w:val="clear" w:color="auto" w:fill="EAEAEA"/>
        <w:tblCellMar>
          <w:left w:w="0" w:type="dxa"/>
          <w:right w:w="0" w:type="dxa"/>
        </w:tblCellMar>
        <w:tblLook w:val="04A0"/>
      </w:tblPr>
      <w:tblGrid>
        <w:gridCol w:w="675"/>
        <w:gridCol w:w="8193"/>
      </w:tblGrid>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9.</w:t>
            </w:r>
          </w:p>
        </w:tc>
        <w:tc>
          <w:tcPr>
            <w:tcW w:w="819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Katalog szczegółów drogowych ulic, placów i parków miejskich. Centrum Techniki Budownictwa Komunalnego, Warszawa 1987</w:t>
            </w:r>
          </w:p>
        </w:tc>
      </w:tr>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10.</w:t>
            </w:r>
          </w:p>
        </w:tc>
        <w:tc>
          <w:tcPr>
            <w:tcW w:w="819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Zarządzenia Nr 23 Generalnego Dyrektora Dróg Krajowych i Autostrad z dnia 7 czerwca 2018 r.</w:t>
            </w:r>
          </w:p>
        </w:tc>
      </w:tr>
      <w:tr w:rsidR="007D7DA5" w:rsidRPr="007078D3" w:rsidTr="007D7DA5">
        <w:tc>
          <w:tcPr>
            <w:tcW w:w="675" w:type="dxa"/>
            <w:shd w:val="clear" w:color="auto" w:fill="EAEAEA"/>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11.</w:t>
            </w:r>
          </w:p>
        </w:tc>
        <w:tc>
          <w:tcPr>
            <w:tcW w:w="8193"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Ustawa o wyrobach budowlanych z dnia 16 kwietnia 2004 r. (tekst jednolity: Dz.U. z 2019 r., poz. 266 z późn. zm.)</w:t>
            </w:r>
          </w:p>
        </w:tc>
      </w:tr>
    </w:tbl>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7D7DA5" w:rsidRPr="007078D3" w:rsidRDefault="007D7DA5" w:rsidP="00ED04E8">
      <w:pPr>
        <w:pStyle w:val="Nagwek1"/>
        <w:spacing w:before="0" w:beforeAutospacing="0" w:after="0" w:afterAutospacing="0"/>
        <w:rPr>
          <w:rFonts w:ascii="Times New Roman" w:hAnsi="Times New Roman"/>
          <w:caps/>
          <w:color w:val="000000"/>
          <w:szCs w:val="20"/>
        </w:rPr>
      </w:pPr>
      <w:bookmarkStart w:id="1344" w:name="_Toc2587782"/>
      <w:r w:rsidRPr="007078D3">
        <w:rPr>
          <w:rFonts w:ascii="Times New Roman" w:hAnsi="Times New Roman"/>
          <w:caps/>
          <w:color w:val="000000"/>
          <w:szCs w:val="20"/>
        </w:rPr>
        <w:t>11. ZAŁĄCZNIKI</w:t>
      </w:r>
      <w:bookmarkEnd w:id="1344"/>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ZAŁĄCZNIK 1</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GEOMETRIA   KRAWĘŻNIKÓW (wg [3])</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1.1. Przykład kształtu krawężnika przeznaczonego do ryglowania</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3930650" cy="1686560"/>
            <wp:effectExtent l="0" t="0" r="0" b="0"/>
            <wp:docPr id="95198328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30650" cy="1686560"/>
                    </a:xfrm>
                    <a:prstGeom prst="rect">
                      <a:avLst/>
                    </a:prstGeom>
                    <a:noFill/>
                    <a:ln>
                      <a:noFill/>
                    </a:ln>
                  </pic:spPr>
                </pic:pic>
              </a:graphicData>
            </a:graphic>
          </wp:inline>
        </w:drawing>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7D7DA5" w:rsidRPr="007078D3" w:rsidRDefault="007D7DA5" w:rsidP="00ED04E8">
      <w:pPr>
        <w:ind w:left="1276" w:hanging="1276"/>
        <w:rPr>
          <w:rFonts w:ascii="Times New Roman" w:hAnsi="Times New Roman" w:cs="Times New Roman"/>
          <w:color w:val="000000"/>
          <w:szCs w:val="20"/>
        </w:rPr>
      </w:pPr>
      <w:r w:rsidRPr="007078D3">
        <w:rPr>
          <w:rFonts w:ascii="Times New Roman" w:hAnsi="Times New Roman" w:cs="Times New Roman"/>
          <w:color w:val="000000"/>
          <w:szCs w:val="20"/>
        </w:rPr>
        <w:t>Oznaczenia:  Y ≤ X – 3 mm i Z</w:t>
      </w:r>
      <w:r w:rsidRPr="007078D3">
        <w:rPr>
          <w:rFonts w:ascii="Times New Roman" w:hAnsi="Times New Roman" w:cs="Times New Roman"/>
          <w:color w:val="000000"/>
          <w:szCs w:val="20"/>
          <w:vertAlign w:val="subscript"/>
        </w:rPr>
        <w:t>Y</w:t>
      </w:r>
      <w:r w:rsidRPr="007078D3">
        <w:rPr>
          <w:rFonts w:ascii="Times New Roman" w:hAnsi="Times New Roman" w:cs="Times New Roman"/>
          <w:color w:val="000000"/>
          <w:szCs w:val="20"/>
        </w:rPr>
        <w:t> ≤ Z</w:t>
      </w:r>
      <w:r w:rsidRPr="007078D3">
        <w:rPr>
          <w:rFonts w:ascii="Times New Roman" w:hAnsi="Times New Roman" w:cs="Times New Roman"/>
          <w:color w:val="000000"/>
          <w:szCs w:val="20"/>
          <w:vertAlign w:val="subscript"/>
        </w:rPr>
        <w:t>X</w:t>
      </w:r>
      <w:r w:rsidRPr="007078D3">
        <w:rPr>
          <w:rFonts w:ascii="Times New Roman" w:hAnsi="Times New Roman" w:cs="Times New Roman"/>
          <w:color w:val="000000"/>
          <w:szCs w:val="20"/>
        </w:rPr>
        <w:t> – 3 mm,  X minimum: ≥ 1/5 </w:t>
      </w:r>
      <w:r w:rsidRPr="007078D3">
        <w:rPr>
          <w:rFonts w:ascii="Times New Roman" w:hAnsi="Times New Roman" w:cs="Times New Roman"/>
          <w:i/>
          <w:iCs/>
          <w:color w:val="000000"/>
          <w:szCs w:val="20"/>
        </w:rPr>
        <w:t>b</w:t>
      </w:r>
      <w:r w:rsidRPr="007078D3">
        <w:rPr>
          <w:rFonts w:ascii="Times New Roman" w:hAnsi="Times New Roman" w:cs="Times New Roman"/>
          <w:color w:val="000000"/>
          <w:szCs w:val="20"/>
        </w:rPr>
        <w:t> i ≥ 20 mm,</w:t>
      </w:r>
      <w:r w:rsidRPr="007078D3">
        <w:rPr>
          <w:rFonts w:ascii="Times New Roman" w:hAnsi="Times New Roman" w:cs="Times New Roman"/>
          <w:color w:val="000000"/>
          <w:szCs w:val="20"/>
        </w:rPr>
        <w:br/>
        <w:t>X maximum: ≤ 1/3 </w:t>
      </w:r>
      <w:r w:rsidRPr="007078D3">
        <w:rPr>
          <w:rFonts w:ascii="Times New Roman" w:hAnsi="Times New Roman" w:cs="Times New Roman"/>
          <w:i/>
          <w:iCs/>
          <w:color w:val="000000"/>
          <w:szCs w:val="20"/>
        </w:rPr>
        <w:t>b</w:t>
      </w:r>
      <w:r w:rsidRPr="007078D3">
        <w:rPr>
          <w:rFonts w:ascii="Times New Roman" w:hAnsi="Times New Roman" w:cs="Times New Roman"/>
          <w:color w:val="000000"/>
          <w:szCs w:val="20"/>
        </w:rPr>
        <w:t> i  ≤ 70 mm,  Z</w:t>
      </w:r>
      <w:r w:rsidRPr="007078D3">
        <w:rPr>
          <w:rFonts w:ascii="Times New Roman" w:hAnsi="Times New Roman" w:cs="Times New Roman"/>
          <w:color w:val="000000"/>
          <w:szCs w:val="20"/>
          <w:vertAlign w:val="subscript"/>
        </w:rPr>
        <w:t>Y</w:t>
      </w:r>
      <w:r w:rsidRPr="007078D3">
        <w:rPr>
          <w:rFonts w:ascii="Times New Roman" w:hAnsi="Times New Roman" w:cs="Times New Roman"/>
          <w:color w:val="000000"/>
          <w:szCs w:val="20"/>
        </w:rPr>
        <w:t> maximum: Y/2, Tolerancja dla X i Z</w:t>
      </w:r>
      <w:r w:rsidRPr="007078D3">
        <w:rPr>
          <w:rFonts w:ascii="Times New Roman" w:hAnsi="Times New Roman" w:cs="Times New Roman"/>
          <w:color w:val="000000"/>
          <w:szCs w:val="20"/>
          <w:vertAlign w:val="subscript"/>
        </w:rPr>
        <w:t>X</w:t>
      </w:r>
      <w:r w:rsidRPr="007078D3">
        <w:rPr>
          <w:rFonts w:ascii="Times New Roman" w:hAnsi="Times New Roman" w:cs="Times New Roman"/>
          <w:color w:val="000000"/>
          <w:szCs w:val="20"/>
        </w:rPr>
        <w:t>   -1, +2 mm,  Tolerancja dla Y i Z</w:t>
      </w:r>
      <w:r w:rsidRPr="007078D3">
        <w:rPr>
          <w:rFonts w:ascii="Times New Roman" w:hAnsi="Times New Roman" w:cs="Times New Roman"/>
          <w:color w:val="000000"/>
          <w:szCs w:val="20"/>
          <w:vertAlign w:val="subscript"/>
        </w:rPr>
        <w:t>Y</w:t>
      </w:r>
      <w:r w:rsidRPr="007078D3">
        <w:rPr>
          <w:rFonts w:ascii="Times New Roman" w:hAnsi="Times New Roman" w:cs="Times New Roman"/>
          <w:color w:val="000000"/>
          <w:szCs w:val="20"/>
        </w:rPr>
        <w:t> – 2, +1 mm,  L – Długość elementu krawężnika,  W</w:t>
      </w:r>
      <w:r w:rsidRPr="007078D3">
        <w:rPr>
          <w:rFonts w:ascii="Times New Roman" w:hAnsi="Times New Roman" w:cs="Times New Roman"/>
          <w:i/>
          <w:iCs/>
          <w:color w:val="000000"/>
          <w:szCs w:val="20"/>
        </w:rPr>
        <w:t> –</w:t>
      </w:r>
      <w:r w:rsidRPr="007078D3">
        <w:rPr>
          <w:rFonts w:ascii="Times New Roman" w:hAnsi="Times New Roman" w:cs="Times New Roman"/>
          <w:color w:val="000000"/>
          <w:szCs w:val="20"/>
        </w:rPr>
        <w:t> Szerokość elementu krawężnika</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1.2. Przykład wgłębienia lub wcięcia powierzchni czołowej w dolnej części krawężnika</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lastRenderedPageBreak/>
        <w:drawing>
          <wp:inline distT="0" distB="0" distL="0" distR="0">
            <wp:extent cx="2054225" cy="2078355"/>
            <wp:effectExtent l="0" t="0" r="0" b="0"/>
            <wp:docPr id="1604176697"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54225" cy="2078355"/>
                    </a:xfrm>
                    <a:prstGeom prst="rect">
                      <a:avLst/>
                    </a:prstGeom>
                    <a:noFill/>
                    <a:ln>
                      <a:noFill/>
                    </a:ln>
                  </pic:spPr>
                </pic:pic>
              </a:graphicData>
            </a:graphic>
          </wp:inline>
        </w:drawing>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7D7DA5" w:rsidRPr="007078D3" w:rsidRDefault="007D7DA5" w:rsidP="00ED04E8">
      <w:pPr>
        <w:ind w:left="1276" w:hanging="1276"/>
        <w:rPr>
          <w:rFonts w:ascii="Times New Roman" w:hAnsi="Times New Roman" w:cs="Times New Roman"/>
          <w:color w:val="000000"/>
          <w:szCs w:val="20"/>
        </w:rPr>
      </w:pPr>
      <w:r w:rsidRPr="007078D3">
        <w:rPr>
          <w:rFonts w:ascii="Times New Roman" w:hAnsi="Times New Roman" w:cs="Times New Roman"/>
          <w:color w:val="000000"/>
          <w:szCs w:val="20"/>
        </w:rPr>
        <w:t>Oznaczenia:  H – Wysokość elementu krawężnika, h – wysokość wgłębienia lub wcięcia,       W – szerokość elementu krawężnika, L – długość elementu krawężnika,  l – długość wgłębienia lub wcięcia</w:t>
      </w:r>
    </w:p>
    <w:p w:rsidR="007D7DA5" w:rsidRPr="007078D3" w:rsidRDefault="007D7DA5" w:rsidP="00ED04E8">
      <w:pPr>
        <w:jc w:val="right"/>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ZAŁĄCZNIK 2</w:t>
      </w:r>
    </w:p>
    <w:p w:rsidR="007D7DA5" w:rsidRPr="007078D3" w:rsidRDefault="007D7DA5" w:rsidP="00ED04E8">
      <w:pPr>
        <w:jc w:val="right"/>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PRZYKŁADY  KRAWĘŻNIKÓW  ŁUKOWYCH (wg [3])</w:t>
      </w:r>
    </w:p>
    <w:p w:rsidR="007D7DA5" w:rsidRPr="007078D3" w:rsidRDefault="007D7DA5" w:rsidP="00ED04E8">
      <w:pPr>
        <w:jc w:val="center"/>
        <w:rPr>
          <w:rFonts w:ascii="Times New Roman" w:hAnsi="Times New Roman" w:cs="Times New Roman"/>
          <w:color w:val="000000"/>
          <w:szCs w:val="20"/>
        </w:rPr>
      </w:pPr>
      <w:r w:rsidRPr="007078D3">
        <w:rPr>
          <w:rFonts w:ascii="Times New Roman" w:hAnsi="Times New Roman" w:cs="Times New Roman"/>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a) wklęsłego                                       b) wypukłego</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noProof/>
          <w:color w:val="000000"/>
          <w:szCs w:val="20"/>
          <w:lang w:eastAsia="pl-PL"/>
        </w:rPr>
        <w:drawing>
          <wp:inline distT="0" distB="0" distL="0" distR="0">
            <wp:extent cx="4595495" cy="1793240"/>
            <wp:effectExtent l="0" t="0" r="0" b="0"/>
            <wp:docPr id="1210648669"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95495" cy="1793240"/>
                    </a:xfrm>
                    <a:prstGeom prst="rect">
                      <a:avLst/>
                    </a:prstGeom>
                    <a:noFill/>
                    <a:ln>
                      <a:noFill/>
                    </a:ln>
                  </pic:spPr>
                </pic:pic>
              </a:graphicData>
            </a:graphic>
          </wp:inline>
        </w:drawing>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Oznaczenia: 1 – Krawężnik, 2 – Jezdnia, 3 – Długość, 4 – Promień, 5 – Kanał odpływowy</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ZAŁĄCZNIK 3</w:t>
      </w:r>
    </w:p>
    <w:p w:rsidR="007D7DA5" w:rsidRPr="007078D3" w:rsidRDefault="007D7DA5" w:rsidP="00ED04E8">
      <w:pPr>
        <w:jc w:val="right"/>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PRZYKŁADY  KRAWĘŻNIKÓW  TYPU  ULICZNEGO  I  DROGOWEGO</w:t>
      </w:r>
    </w:p>
    <w:p w:rsidR="007D7DA5" w:rsidRPr="007078D3" w:rsidRDefault="007D7DA5" w:rsidP="00ED04E8">
      <w:pPr>
        <w:jc w:val="center"/>
        <w:rPr>
          <w:rFonts w:ascii="Times New Roman" w:hAnsi="Times New Roman" w:cs="Times New Roman"/>
          <w:color w:val="000000"/>
          <w:szCs w:val="20"/>
        </w:rPr>
      </w:pPr>
      <w:r w:rsidRPr="007078D3">
        <w:rPr>
          <w:rFonts w:ascii="Times New Roman" w:hAnsi="Times New Roman" w:cs="Times New Roman"/>
          <w:color w:val="000000"/>
          <w:szCs w:val="20"/>
        </w:rPr>
        <w:t> </w:t>
      </w:r>
    </w:p>
    <w:tbl>
      <w:tblPr>
        <w:tblW w:w="7659" w:type="dxa"/>
        <w:shd w:val="clear" w:color="auto" w:fill="EAEAEA"/>
        <w:tblCellMar>
          <w:left w:w="0" w:type="dxa"/>
          <w:right w:w="0" w:type="dxa"/>
        </w:tblCellMar>
        <w:tblLook w:val="04A0"/>
      </w:tblPr>
      <w:tblGrid>
        <w:gridCol w:w="3751"/>
        <w:gridCol w:w="3908"/>
      </w:tblGrid>
      <w:tr w:rsidR="007D7DA5" w:rsidRPr="007078D3" w:rsidTr="007D7DA5">
        <w:tc>
          <w:tcPr>
            <w:tcW w:w="3750"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a) Krawężnik typu ulicznego</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244725" cy="1211580"/>
                  <wp:effectExtent l="0" t="0" r="0" b="0"/>
                  <wp:docPr id="1254993200"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44725" cy="1211580"/>
                          </a:xfrm>
                          <a:prstGeom prst="rect">
                            <a:avLst/>
                          </a:prstGeom>
                          <a:noFill/>
                          <a:ln>
                            <a:noFill/>
                          </a:ln>
                        </pic:spPr>
                      </pic:pic>
                    </a:graphicData>
                  </a:graphic>
                </wp:inline>
              </w:drawing>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 </w:t>
            </w:r>
          </w:p>
        </w:tc>
        <w:tc>
          <w:tcPr>
            <w:tcW w:w="3909" w:type="dxa"/>
            <w:shd w:val="clear" w:color="auto" w:fill="EAEAEA"/>
            <w:tcMar>
              <w:top w:w="0" w:type="dxa"/>
              <w:left w:w="108" w:type="dxa"/>
              <w:bottom w:w="0" w:type="dxa"/>
              <w:right w:w="108" w:type="dxa"/>
            </w:tcMar>
            <w:hideMark/>
          </w:tcPr>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b) Krawężniki typu drogowego</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339340" cy="1247140"/>
                  <wp:effectExtent l="0" t="0" r="0" b="0"/>
                  <wp:docPr id="1863194490"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39340" cy="1247140"/>
                          </a:xfrm>
                          <a:prstGeom prst="rect">
                            <a:avLst/>
                          </a:prstGeom>
                          <a:noFill/>
                          <a:ln>
                            <a:noFill/>
                          </a:ln>
                        </pic:spPr>
                      </pic:pic>
                    </a:graphicData>
                  </a:graphic>
                </wp:inline>
              </w:drawing>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krawężnik o przekroju prostokątnym</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noProof/>
                <w:szCs w:val="20"/>
                <w:lang w:eastAsia="pl-PL"/>
              </w:rPr>
              <w:lastRenderedPageBreak/>
              <w:drawing>
                <wp:inline distT="0" distB="0" distL="0" distR="0">
                  <wp:extent cx="2315845" cy="1128395"/>
                  <wp:effectExtent l="0" t="0" r="0" b="0"/>
                  <wp:docPr id="2033343727"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15845" cy="1128395"/>
                          </a:xfrm>
                          <a:prstGeom prst="rect">
                            <a:avLst/>
                          </a:prstGeom>
                          <a:noFill/>
                          <a:ln>
                            <a:noFill/>
                          </a:ln>
                        </pic:spPr>
                      </pic:pic>
                    </a:graphicData>
                  </a:graphic>
                </wp:inline>
              </w:drawing>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krawężnik wyspowy</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 </w:t>
            </w:r>
          </w:p>
        </w:tc>
      </w:tr>
    </w:tbl>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lastRenderedPageBreak/>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Przykładowe wymiary krawężników</w:t>
      </w:r>
    </w:p>
    <w:tbl>
      <w:tblPr>
        <w:tblW w:w="0" w:type="auto"/>
        <w:tblInd w:w="250" w:type="dxa"/>
        <w:shd w:val="clear" w:color="auto" w:fill="EAEAEA"/>
        <w:tblCellMar>
          <w:left w:w="0" w:type="dxa"/>
          <w:right w:w="0" w:type="dxa"/>
        </w:tblCellMar>
        <w:tblLook w:val="04A0"/>
      </w:tblPr>
      <w:tblGrid>
        <w:gridCol w:w="1276"/>
        <w:gridCol w:w="709"/>
        <w:gridCol w:w="850"/>
        <w:gridCol w:w="851"/>
        <w:gridCol w:w="1134"/>
        <w:gridCol w:w="1134"/>
        <w:gridCol w:w="1134"/>
      </w:tblGrid>
      <w:tr w:rsidR="007D7DA5" w:rsidRPr="007078D3" w:rsidTr="007D7DA5">
        <w:tc>
          <w:tcPr>
            <w:tcW w:w="1276" w:type="dxa"/>
            <w:tcBorders>
              <w:top w:val="single" w:sz="8" w:space="0" w:color="auto"/>
              <w:left w:val="single" w:sz="8" w:space="0" w:color="auto"/>
              <w:bottom w:val="nil"/>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Typ</w:t>
            </w:r>
          </w:p>
        </w:tc>
        <w:tc>
          <w:tcPr>
            <w:tcW w:w="5812" w:type="dxa"/>
            <w:gridSpan w:val="6"/>
            <w:tcBorders>
              <w:top w:val="single" w:sz="8" w:space="0" w:color="auto"/>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Wymiary krawężników, cm</w:t>
            </w:r>
          </w:p>
        </w:tc>
      </w:tr>
      <w:tr w:rsidR="007D7DA5" w:rsidRPr="007078D3" w:rsidTr="007D7DA5">
        <w:tc>
          <w:tcPr>
            <w:tcW w:w="1276" w:type="dxa"/>
            <w:tcBorders>
              <w:top w:val="nil"/>
              <w:left w:val="single" w:sz="8" w:space="0" w:color="auto"/>
              <w:bottom w:val="double" w:sz="4"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krawężnika</w:t>
            </w:r>
          </w:p>
        </w:tc>
        <w:tc>
          <w:tcPr>
            <w:tcW w:w="709" w:type="dxa"/>
            <w:tcBorders>
              <w:top w:val="nil"/>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l</w:t>
            </w:r>
          </w:p>
        </w:tc>
        <w:tc>
          <w:tcPr>
            <w:tcW w:w="850" w:type="dxa"/>
            <w:tcBorders>
              <w:top w:val="single" w:sz="8" w:space="0" w:color="auto"/>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b</w:t>
            </w:r>
          </w:p>
        </w:tc>
        <w:tc>
          <w:tcPr>
            <w:tcW w:w="851" w:type="dxa"/>
            <w:tcBorders>
              <w:top w:val="single" w:sz="8" w:space="0" w:color="auto"/>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h</w:t>
            </w:r>
          </w:p>
        </w:tc>
        <w:tc>
          <w:tcPr>
            <w:tcW w:w="1134" w:type="dxa"/>
            <w:tcBorders>
              <w:top w:val="single" w:sz="8" w:space="0" w:color="auto"/>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c</w:t>
            </w:r>
          </w:p>
        </w:tc>
        <w:tc>
          <w:tcPr>
            <w:tcW w:w="1134" w:type="dxa"/>
            <w:tcBorders>
              <w:top w:val="single" w:sz="8" w:space="0" w:color="auto"/>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d</w:t>
            </w:r>
          </w:p>
        </w:tc>
        <w:tc>
          <w:tcPr>
            <w:tcW w:w="1134" w:type="dxa"/>
            <w:tcBorders>
              <w:top w:val="single" w:sz="8" w:space="0" w:color="auto"/>
              <w:left w:val="nil"/>
              <w:bottom w:val="double" w:sz="4"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r</w:t>
            </w:r>
          </w:p>
        </w:tc>
      </w:tr>
      <w:tr w:rsidR="007D7DA5" w:rsidRPr="007078D3" w:rsidTr="007D7DA5">
        <w:tc>
          <w:tcPr>
            <w:tcW w:w="127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Uliczny</w:t>
            </w:r>
          </w:p>
        </w:tc>
        <w:tc>
          <w:tcPr>
            <w:tcW w:w="70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100</w:t>
            </w:r>
          </w:p>
        </w:tc>
        <w:tc>
          <w:tcPr>
            <w:tcW w:w="85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20</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15</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30</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min. 3</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max. 7</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min. 12</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max. 15</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1,0</w:t>
            </w:r>
          </w:p>
        </w:tc>
      </w:tr>
      <w:tr w:rsidR="007D7DA5" w:rsidRPr="007078D3" w:rsidTr="007D7DA5">
        <w:tc>
          <w:tcPr>
            <w:tcW w:w="127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Drogowy</w:t>
            </w:r>
          </w:p>
        </w:tc>
        <w:tc>
          <w:tcPr>
            <w:tcW w:w="70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100</w:t>
            </w:r>
          </w:p>
        </w:tc>
        <w:tc>
          <w:tcPr>
            <w:tcW w:w="85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15</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12</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10</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20</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25</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25</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1,0</w:t>
            </w:r>
          </w:p>
        </w:tc>
      </w:tr>
      <w:tr w:rsidR="007D7DA5" w:rsidRPr="007078D3" w:rsidTr="007D7DA5">
        <w:tc>
          <w:tcPr>
            <w:tcW w:w="1276" w:type="dxa"/>
            <w:tcBorders>
              <w:top w:val="nil"/>
              <w:left w:val="single" w:sz="8" w:space="0" w:color="auto"/>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Drogowy</w:t>
            </w:r>
          </w:p>
        </w:tc>
        <w:tc>
          <w:tcPr>
            <w:tcW w:w="709"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100</w:t>
            </w:r>
          </w:p>
        </w:tc>
        <w:tc>
          <w:tcPr>
            <w:tcW w:w="850"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23</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15</w:t>
            </w:r>
          </w:p>
        </w:tc>
        <w:tc>
          <w:tcPr>
            <w:tcW w:w="851"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23</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20</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18</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12</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7,5</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4</w:t>
            </w:r>
          </w:p>
        </w:tc>
        <w:tc>
          <w:tcPr>
            <w:tcW w:w="1134" w:type="dxa"/>
            <w:tcBorders>
              <w:top w:val="nil"/>
              <w:left w:val="nil"/>
              <w:bottom w:val="single" w:sz="8" w:space="0" w:color="auto"/>
              <w:right w:val="single" w:sz="8" w:space="0" w:color="auto"/>
            </w:tcBorders>
            <w:shd w:val="clear" w:color="auto" w:fill="EAEAEA"/>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1,0</w:t>
            </w:r>
          </w:p>
        </w:tc>
      </w:tr>
    </w:tbl>
    <w:p w:rsidR="007D7DA5" w:rsidRPr="007078D3" w:rsidRDefault="007D7DA5" w:rsidP="00ED04E8">
      <w:pPr>
        <w:jc w:val="right"/>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7D7DA5" w:rsidRPr="007078D3" w:rsidRDefault="007D7DA5" w:rsidP="00ED04E8">
      <w:pPr>
        <w:jc w:val="right"/>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b/>
          <w:bCs/>
          <w:color w:val="000000"/>
          <w:szCs w:val="20"/>
        </w:rPr>
        <w:t>ZAŁĄCZNIK 4</w:t>
      </w:r>
    </w:p>
    <w:p w:rsidR="007D7DA5" w:rsidRPr="007078D3" w:rsidRDefault="007D7DA5" w:rsidP="00ED04E8">
      <w:pPr>
        <w:jc w:val="right"/>
        <w:rPr>
          <w:rFonts w:ascii="Times New Roman" w:hAnsi="Times New Roman" w:cs="Times New Roman"/>
          <w:color w:val="000000"/>
          <w:szCs w:val="20"/>
        </w:rPr>
      </w:pPr>
      <w:r w:rsidRPr="007078D3">
        <w:rPr>
          <w:rFonts w:ascii="Times New Roman" w:hAnsi="Times New Roman" w:cs="Times New Roman"/>
          <w:b/>
          <w:bCs/>
          <w:color w:val="000000"/>
          <w:szCs w:val="20"/>
        </w:rPr>
        <w:t> </w:t>
      </w:r>
    </w:p>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pacing w:val="-8"/>
          <w:szCs w:val="20"/>
        </w:rPr>
        <w:t>PRZYKŁADY  USTAWIENIA  KRAWĘŻNIKÓW  BETONOWYCH  NA  ŁAWACH (wg [9])</w:t>
      </w:r>
    </w:p>
    <w:tbl>
      <w:tblPr>
        <w:tblW w:w="0" w:type="auto"/>
        <w:shd w:val="clear" w:color="auto" w:fill="EAEAEA"/>
        <w:tblCellMar>
          <w:left w:w="0" w:type="dxa"/>
          <w:right w:w="0" w:type="dxa"/>
        </w:tblCellMar>
        <w:tblLook w:val="04A0"/>
      </w:tblPr>
      <w:tblGrid>
        <w:gridCol w:w="4503"/>
        <w:gridCol w:w="33"/>
        <w:gridCol w:w="4395"/>
      </w:tblGrid>
      <w:tr w:rsidR="007D7DA5" w:rsidRPr="007078D3" w:rsidTr="007D7DA5">
        <w:trPr>
          <w:trHeight w:val="4776"/>
        </w:trPr>
        <w:tc>
          <w:tcPr>
            <w:tcW w:w="4536" w:type="dxa"/>
            <w:gridSpan w:val="2"/>
            <w:shd w:val="clear" w:color="auto" w:fill="EAEAEA"/>
            <w:tcMar>
              <w:top w:w="0" w:type="dxa"/>
              <w:left w:w="108" w:type="dxa"/>
              <w:bottom w:w="0" w:type="dxa"/>
              <w:right w:w="108" w:type="dxa"/>
            </w:tcMar>
            <w:hideMark/>
          </w:tcPr>
          <w:p w:rsidR="007D7DA5" w:rsidRPr="007078D3" w:rsidRDefault="007D7DA5" w:rsidP="00ED04E8">
            <w:pPr>
              <w:ind w:left="284" w:hanging="284"/>
              <w:rPr>
                <w:rFonts w:ascii="Times New Roman" w:hAnsi="Times New Roman" w:cs="Times New Roman"/>
                <w:szCs w:val="20"/>
              </w:rPr>
            </w:pPr>
            <w:r w:rsidRPr="007078D3">
              <w:rPr>
                <w:rFonts w:ascii="Times New Roman" w:hAnsi="Times New Roman" w:cs="Times New Roman"/>
                <w:szCs w:val="20"/>
              </w:rPr>
              <w:t>a) Krawężnik typu ulicznego 20 × 30 cm na ławie betonowej z oporem</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983105" cy="2291715"/>
                  <wp:effectExtent l="0" t="0" r="0" b="0"/>
                  <wp:docPr id="708645148"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83105" cy="2291715"/>
                          </a:xfrm>
                          <a:prstGeom prst="rect">
                            <a:avLst/>
                          </a:prstGeom>
                          <a:noFill/>
                          <a:ln>
                            <a:noFill/>
                          </a:ln>
                        </pic:spPr>
                      </pic:pic>
                    </a:graphicData>
                  </a:graphic>
                </wp:inline>
              </w:drawing>
            </w:r>
          </w:p>
          <w:p w:rsidR="007D7DA5" w:rsidRPr="007078D3" w:rsidRDefault="007D7DA5" w:rsidP="00ED04E8">
            <w:pPr>
              <w:ind w:left="426" w:hanging="360"/>
              <w:rPr>
                <w:rFonts w:ascii="Times New Roman" w:hAnsi="Times New Roman" w:cs="Times New Roman"/>
                <w:szCs w:val="20"/>
              </w:rPr>
            </w:pPr>
            <w:r w:rsidRPr="007078D3">
              <w:rPr>
                <w:rFonts w:ascii="Times New Roman" w:hAnsi="Times New Roman" w:cs="Times New Roman"/>
                <w:szCs w:val="20"/>
              </w:rPr>
              <w:t>1.      krawężnik, typ ciężki 20×30×100 cm</w:t>
            </w:r>
          </w:p>
          <w:p w:rsidR="007D7DA5" w:rsidRPr="007078D3" w:rsidRDefault="007D7DA5" w:rsidP="00ED04E8">
            <w:pPr>
              <w:ind w:left="426" w:hanging="360"/>
              <w:rPr>
                <w:rFonts w:ascii="Times New Roman" w:hAnsi="Times New Roman" w:cs="Times New Roman"/>
                <w:szCs w:val="20"/>
              </w:rPr>
            </w:pPr>
            <w:r w:rsidRPr="007078D3">
              <w:rPr>
                <w:rFonts w:ascii="Times New Roman" w:hAnsi="Times New Roman" w:cs="Times New Roman"/>
                <w:szCs w:val="20"/>
              </w:rPr>
              <w:t>2.      podsypka cem.-piaskowa 1:4</w:t>
            </w:r>
          </w:p>
          <w:p w:rsidR="007D7DA5" w:rsidRPr="007078D3" w:rsidRDefault="007D7DA5" w:rsidP="00ED04E8">
            <w:pPr>
              <w:ind w:left="426" w:hanging="360"/>
              <w:rPr>
                <w:rFonts w:ascii="Times New Roman" w:hAnsi="Times New Roman" w:cs="Times New Roman"/>
                <w:szCs w:val="20"/>
              </w:rPr>
            </w:pPr>
            <w:r w:rsidRPr="007078D3">
              <w:rPr>
                <w:rFonts w:ascii="Times New Roman" w:hAnsi="Times New Roman" w:cs="Times New Roman"/>
                <w:szCs w:val="20"/>
              </w:rPr>
              <w:t>3.      ława z betonu C12/15 lub C8/10</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 </w:t>
            </w:r>
          </w:p>
        </w:tc>
        <w:tc>
          <w:tcPr>
            <w:tcW w:w="4395" w:type="dxa"/>
            <w:shd w:val="clear" w:color="auto" w:fill="EAEAEA"/>
            <w:tcMar>
              <w:top w:w="0" w:type="dxa"/>
              <w:left w:w="108" w:type="dxa"/>
              <w:bottom w:w="0" w:type="dxa"/>
              <w:right w:w="108" w:type="dxa"/>
            </w:tcMar>
            <w:hideMark/>
          </w:tcPr>
          <w:p w:rsidR="007D7DA5" w:rsidRPr="007078D3" w:rsidRDefault="007D7DA5" w:rsidP="00ED04E8">
            <w:pPr>
              <w:ind w:left="356" w:hanging="283"/>
              <w:rPr>
                <w:rFonts w:ascii="Times New Roman" w:hAnsi="Times New Roman" w:cs="Times New Roman"/>
                <w:szCs w:val="20"/>
              </w:rPr>
            </w:pPr>
            <w:r w:rsidRPr="007078D3">
              <w:rPr>
                <w:rFonts w:ascii="Times New Roman" w:hAnsi="Times New Roman" w:cs="Times New Roman"/>
                <w:szCs w:val="20"/>
              </w:rPr>
              <w:t>b) Krawężnik typu ulicznego 15 × 30 cm na ławie betonowej zwykłej</w:t>
            </w:r>
          </w:p>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852295" cy="2303780"/>
                  <wp:effectExtent l="0" t="0" r="0" b="0"/>
                  <wp:docPr id="1084186759"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52295" cy="2303780"/>
                          </a:xfrm>
                          <a:prstGeom prst="rect">
                            <a:avLst/>
                          </a:prstGeom>
                          <a:noFill/>
                          <a:ln>
                            <a:noFill/>
                          </a:ln>
                        </pic:spPr>
                      </pic:pic>
                    </a:graphicData>
                  </a:graphic>
                </wp:inline>
              </w:drawing>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t>1.      krawężnik, typ uliczny 15×30×100 cm</w:t>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t>2.      podsypka cem.-piaskowa 1:4</w:t>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t>3.      ława z betonu C12/15 lub C8/10</w:t>
            </w:r>
          </w:p>
        </w:tc>
      </w:tr>
      <w:tr w:rsidR="007D7DA5" w:rsidRPr="007078D3" w:rsidTr="007D7DA5">
        <w:tc>
          <w:tcPr>
            <w:tcW w:w="4503" w:type="dxa"/>
            <w:shd w:val="clear" w:color="auto" w:fill="EAEAEA"/>
            <w:tcMar>
              <w:top w:w="0" w:type="dxa"/>
              <w:left w:w="108" w:type="dxa"/>
              <w:bottom w:w="0" w:type="dxa"/>
              <w:right w:w="108" w:type="dxa"/>
            </w:tcMar>
            <w:hideMark/>
          </w:tcPr>
          <w:p w:rsidR="007D7DA5" w:rsidRPr="007078D3" w:rsidRDefault="007D7DA5" w:rsidP="00ED04E8">
            <w:pPr>
              <w:ind w:left="284" w:hanging="284"/>
              <w:rPr>
                <w:rFonts w:ascii="Times New Roman" w:hAnsi="Times New Roman" w:cs="Times New Roman"/>
                <w:szCs w:val="20"/>
              </w:rPr>
            </w:pPr>
            <w:r w:rsidRPr="007078D3">
              <w:rPr>
                <w:rFonts w:ascii="Times New Roman" w:hAnsi="Times New Roman" w:cs="Times New Roman"/>
                <w:szCs w:val="20"/>
              </w:rPr>
              <w:t>c)  Krawężnik typu ulicznego 15 × 30 cm na ławie żwirowej</w:t>
            </w:r>
          </w:p>
          <w:p w:rsidR="007D7DA5" w:rsidRPr="007078D3" w:rsidRDefault="007D7DA5" w:rsidP="00ED04E8">
            <w:pPr>
              <w:ind w:left="284" w:hanging="284"/>
              <w:rPr>
                <w:rFonts w:ascii="Times New Roman" w:hAnsi="Times New Roman" w:cs="Times New Roman"/>
                <w:szCs w:val="20"/>
              </w:rPr>
            </w:pPr>
            <w:r w:rsidRPr="007078D3">
              <w:rPr>
                <w:rFonts w:ascii="Times New Roman" w:hAnsi="Times New Roman" w:cs="Times New Roman"/>
                <w:noProof/>
                <w:szCs w:val="20"/>
                <w:lang w:eastAsia="pl-PL"/>
              </w:rPr>
              <w:lastRenderedPageBreak/>
              <w:drawing>
                <wp:inline distT="0" distB="0" distL="0" distR="0">
                  <wp:extent cx="2018665" cy="2327275"/>
                  <wp:effectExtent l="0" t="0" r="0" b="0"/>
                  <wp:docPr id="1705074917"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18665" cy="2327275"/>
                          </a:xfrm>
                          <a:prstGeom prst="rect">
                            <a:avLst/>
                          </a:prstGeom>
                          <a:noFill/>
                          <a:ln>
                            <a:noFill/>
                          </a:ln>
                        </pic:spPr>
                      </pic:pic>
                    </a:graphicData>
                  </a:graphic>
                </wp:inline>
              </w:drawing>
            </w:r>
          </w:p>
          <w:p w:rsidR="007D7DA5" w:rsidRPr="007078D3" w:rsidRDefault="007D7DA5" w:rsidP="00ED04E8">
            <w:pPr>
              <w:ind w:left="426" w:hanging="360"/>
              <w:rPr>
                <w:rFonts w:ascii="Times New Roman" w:hAnsi="Times New Roman" w:cs="Times New Roman"/>
                <w:szCs w:val="20"/>
              </w:rPr>
            </w:pPr>
            <w:r w:rsidRPr="007078D3">
              <w:rPr>
                <w:rFonts w:ascii="Times New Roman" w:hAnsi="Times New Roman" w:cs="Times New Roman"/>
                <w:szCs w:val="20"/>
              </w:rPr>
              <w:t>1.      krawężnik, typ uliczny 15×30×100 cm</w:t>
            </w:r>
          </w:p>
          <w:p w:rsidR="007D7DA5" w:rsidRPr="007078D3" w:rsidRDefault="007D7DA5" w:rsidP="00ED04E8">
            <w:pPr>
              <w:ind w:left="426" w:hanging="360"/>
              <w:rPr>
                <w:rFonts w:ascii="Times New Roman" w:hAnsi="Times New Roman" w:cs="Times New Roman"/>
                <w:szCs w:val="20"/>
              </w:rPr>
            </w:pPr>
            <w:r w:rsidRPr="007078D3">
              <w:rPr>
                <w:rFonts w:ascii="Times New Roman" w:hAnsi="Times New Roman" w:cs="Times New Roman"/>
                <w:szCs w:val="20"/>
              </w:rPr>
              <w:t>2.      podsypka piaskowa lub cem.-piaskowa 1:4</w:t>
            </w:r>
          </w:p>
          <w:p w:rsidR="007D7DA5" w:rsidRPr="007078D3" w:rsidRDefault="007D7DA5" w:rsidP="00ED04E8">
            <w:pPr>
              <w:ind w:left="426" w:hanging="360"/>
              <w:rPr>
                <w:rFonts w:ascii="Times New Roman" w:hAnsi="Times New Roman" w:cs="Times New Roman"/>
                <w:szCs w:val="20"/>
              </w:rPr>
            </w:pPr>
            <w:r w:rsidRPr="007078D3">
              <w:rPr>
                <w:rFonts w:ascii="Times New Roman" w:hAnsi="Times New Roman" w:cs="Times New Roman"/>
                <w:szCs w:val="20"/>
              </w:rPr>
              <w:t>3.      ława żwirowa</w:t>
            </w:r>
          </w:p>
          <w:p w:rsidR="007D7DA5" w:rsidRPr="007078D3" w:rsidRDefault="007D7DA5" w:rsidP="00ED04E8">
            <w:pPr>
              <w:rPr>
                <w:rFonts w:ascii="Times New Roman" w:hAnsi="Times New Roman" w:cs="Times New Roman"/>
                <w:szCs w:val="20"/>
              </w:rPr>
            </w:pPr>
            <w:r w:rsidRPr="007078D3">
              <w:rPr>
                <w:rFonts w:ascii="Times New Roman" w:hAnsi="Times New Roman" w:cs="Times New Roman"/>
                <w:szCs w:val="20"/>
              </w:rPr>
              <w:t> </w:t>
            </w:r>
          </w:p>
        </w:tc>
        <w:tc>
          <w:tcPr>
            <w:tcW w:w="4428" w:type="dxa"/>
            <w:gridSpan w:val="2"/>
            <w:shd w:val="clear" w:color="auto" w:fill="EAEAEA"/>
            <w:tcMar>
              <w:top w:w="0" w:type="dxa"/>
              <w:left w:w="108" w:type="dxa"/>
              <w:bottom w:w="0" w:type="dxa"/>
              <w:right w:w="108" w:type="dxa"/>
            </w:tcMar>
            <w:hideMark/>
          </w:tcPr>
          <w:p w:rsidR="007D7DA5" w:rsidRPr="007078D3" w:rsidRDefault="007D7DA5" w:rsidP="00ED04E8">
            <w:pPr>
              <w:ind w:left="214" w:hanging="214"/>
              <w:rPr>
                <w:rFonts w:ascii="Times New Roman" w:hAnsi="Times New Roman" w:cs="Times New Roman"/>
                <w:szCs w:val="20"/>
              </w:rPr>
            </w:pPr>
            <w:r w:rsidRPr="007078D3">
              <w:rPr>
                <w:rFonts w:ascii="Times New Roman" w:hAnsi="Times New Roman" w:cs="Times New Roman"/>
                <w:szCs w:val="20"/>
              </w:rPr>
              <w:lastRenderedPageBreak/>
              <w:t>d) Krawężnik typu ulicznego 15 × 30 cm</w:t>
            </w:r>
            <w:r w:rsidRPr="007078D3">
              <w:rPr>
                <w:rFonts w:ascii="Times New Roman" w:hAnsi="Times New Roman" w:cs="Times New Roman"/>
                <w:szCs w:val="20"/>
              </w:rPr>
              <w:br/>
              <w:t>na ławie tłuczniowej</w:t>
            </w:r>
          </w:p>
          <w:p w:rsidR="007D7DA5" w:rsidRPr="007078D3" w:rsidRDefault="007D7DA5" w:rsidP="00ED04E8">
            <w:pPr>
              <w:ind w:left="214" w:hanging="214"/>
              <w:rPr>
                <w:rFonts w:ascii="Times New Roman" w:hAnsi="Times New Roman" w:cs="Times New Roman"/>
                <w:szCs w:val="20"/>
              </w:rPr>
            </w:pPr>
            <w:r w:rsidRPr="007078D3">
              <w:rPr>
                <w:rFonts w:ascii="Times New Roman" w:hAnsi="Times New Roman" w:cs="Times New Roman"/>
                <w:noProof/>
                <w:szCs w:val="20"/>
                <w:lang w:eastAsia="pl-PL"/>
              </w:rPr>
              <w:lastRenderedPageBreak/>
              <w:drawing>
                <wp:inline distT="0" distB="0" distL="0" distR="0">
                  <wp:extent cx="2066290" cy="2327275"/>
                  <wp:effectExtent l="0" t="0" r="0" b="0"/>
                  <wp:docPr id="1006533238"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66290" cy="2327275"/>
                          </a:xfrm>
                          <a:prstGeom prst="rect">
                            <a:avLst/>
                          </a:prstGeom>
                          <a:noFill/>
                          <a:ln>
                            <a:noFill/>
                          </a:ln>
                        </pic:spPr>
                      </pic:pic>
                    </a:graphicData>
                  </a:graphic>
                </wp:inline>
              </w:drawing>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t>1.      krawężnik, typ uliczny 15×30×100 cm</w:t>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t>2.      podsypka piaskowa lub cem.-piaskowa 1:4</w:t>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t>3.      ława tłuczniowa</w:t>
            </w:r>
          </w:p>
        </w:tc>
      </w:tr>
      <w:tr w:rsidR="007D7DA5" w:rsidRPr="007078D3" w:rsidTr="007D7DA5">
        <w:tc>
          <w:tcPr>
            <w:tcW w:w="4503" w:type="dxa"/>
            <w:shd w:val="clear" w:color="auto" w:fill="EAEAEA"/>
            <w:tcMar>
              <w:top w:w="0" w:type="dxa"/>
              <w:left w:w="108" w:type="dxa"/>
              <w:bottom w:w="0" w:type="dxa"/>
              <w:right w:w="108" w:type="dxa"/>
            </w:tcMar>
            <w:hideMark/>
          </w:tcPr>
          <w:p w:rsidR="007D7DA5" w:rsidRPr="007078D3" w:rsidRDefault="007D7DA5" w:rsidP="00ED04E8">
            <w:pPr>
              <w:ind w:left="284" w:hanging="284"/>
              <w:rPr>
                <w:rFonts w:ascii="Times New Roman" w:hAnsi="Times New Roman" w:cs="Times New Roman"/>
                <w:szCs w:val="20"/>
              </w:rPr>
            </w:pPr>
            <w:r w:rsidRPr="007078D3">
              <w:rPr>
                <w:rFonts w:ascii="Times New Roman" w:hAnsi="Times New Roman" w:cs="Times New Roman"/>
                <w:szCs w:val="20"/>
              </w:rPr>
              <w:lastRenderedPageBreak/>
              <w:t>e)  Krawężnik typu drogowego 12 × 25 cm na ławie żwirowej lub tłuczniowej</w:t>
            </w:r>
          </w:p>
          <w:p w:rsidR="007D7DA5" w:rsidRPr="007078D3" w:rsidRDefault="007D7DA5" w:rsidP="00ED04E8">
            <w:pPr>
              <w:ind w:left="284" w:hanging="284"/>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018665" cy="2280285"/>
                  <wp:effectExtent l="0" t="0" r="0" b="0"/>
                  <wp:docPr id="660502588"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18665" cy="2280285"/>
                          </a:xfrm>
                          <a:prstGeom prst="rect">
                            <a:avLst/>
                          </a:prstGeom>
                          <a:noFill/>
                          <a:ln>
                            <a:noFill/>
                          </a:ln>
                        </pic:spPr>
                      </pic:pic>
                    </a:graphicData>
                  </a:graphic>
                </wp:inline>
              </w:drawing>
            </w:r>
          </w:p>
          <w:p w:rsidR="007D7DA5" w:rsidRPr="007078D3" w:rsidRDefault="007D7DA5" w:rsidP="00ED04E8">
            <w:pPr>
              <w:ind w:left="284" w:hanging="218"/>
              <w:rPr>
                <w:rFonts w:ascii="Times New Roman" w:hAnsi="Times New Roman" w:cs="Times New Roman"/>
                <w:szCs w:val="20"/>
              </w:rPr>
            </w:pPr>
            <w:r w:rsidRPr="007078D3">
              <w:rPr>
                <w:rFonts w:ascii="Times New Roman" w:hAnsi="Times New Roman" w:cs="Times New Roman"/>
                <w:szCs w:val="20"/>
              </w:rPr>
              <w:t>1.  krawężnik, typ drogowy 12×25×100 cm</w:t>
            </w:r>
          </w:p>
          <w:p w:rsidR="007D7DA5" w:rsidRPr="007078D3" w:rsidRDefault="007D7DA5" w:rsidP="00ED04E8">
            <w:pPr>
              <w:ind w:left="284" w:hanging="218"/>
              <w:rPr>
                <w:rFonts w:ascii="Times New Roman" w:hAnsi="Times New Roman" w:cs="Times New Roman"/>
                <w:szCs w:val="20"/>
              </w:rPr>
            </w:pPr>
            <w:r w:rsidRPr="007078D3">
              <w:rPr>
                <w:rFonts w:ascii="Times New Roman" w:hAnsi="Times New Roman" w:cs="Times New Roman"/>
                <w:szCs w:val="20"/>
              </w:rPr>
              <w:t>2.  podsypka z piasku</w:t>
            </w:r>
          </w:p>
          <w:p w:rsidR="007D7DA5" w:rsidRPr="007078D3" w:rsidRDefault="007D7DA5" w:rsidP="00ED04E8">
            <w:pPr>
              <w:ind w:left="284" w:hanging="218"/>
              <w:rPr>
                <w:rFonts w:ascii="Times New Roman" w:hAnsi="Times New Roman" w:cs="Times New Roman"/>
                <w:szCs w:val="20"/>
              </w:rPr>
            </w:pPr>
            <w:r w:rsidRPr="007078D3">
              <w:rPr>
                <w:rFonts w:ascii="Times New Roman" w:hAnsi="Times New Roman" w:cs="Times New Roman"/>
                <w:szCs w:val="20"/>
              </w:rPr>
              <w:t>3.  ława żwirowa lub tłuczniowa</w:t>
            </w:r>
          </w:p>
          <w:p w:rsidR="007D7DA5" w:rsidRPr="007078D3" w:rsidRDefault="007D7DA5" w:rsidP="00ED04E8">
            <w:pPr>
              <w:ind w:left="284" w:hanging="284"/>
              <w:rPr>
                <w:rFonts w:ascii="Times New Roman" w:hAnsi="Times New Roman" w:cs="Times New Roman"/>
                <w:szCs w:val="20"/>
              </w:rPr>
            </w:pPr>
            <w:r w:rsidRPr="007078D3">
              <w:rPr>
                <w:rFonts w:ascii="Times New Roman" w:hAnsi="Times New Roman" w:cs="Times New Roman"/>
                <w:szCs w:val="20"/>
              </w:rPr>
              <w:t> </w:t>
            </w:r>
          </w:p>
        </w:tc>
        <w:tc>
          <w:tcPr>
            <w:tcW w:w="4428" w:type="dxa"/>
            <w:gridSpan w:val="2"/>
            <w:shd w:val="clear" w:color="auto" w:fill="EAEAEA"/>
            <w:tcMar>
              <w:top w:w="0" w:type="dxa"/>
              <w:left w:w="108" w:type="dxa"/>
              <w:bottom w:w="0" w:type="dxa"/>
              <w:right w:w="108" w:type="dxa"/>
            </w:tcMar>
            <w:hideMark/>
          </w:tcPr>
          <w:p w:rsidR="007D7DA5" w:rsidRPr="007078D3" w:rsidRDefault="007D7DA5" w:rsidP="00ED04E8">
            <w:pPr>
              <w:ind w:left="214" w:hanging="214"/>
              <w:rPr>
                <w:rFonts w:ascii="Times New Roman" w:hAnsi="Times New Roman" w:cs="Times New Roman"/>
                <w:szCs w:val="20"/>
              </w:rPr>
            </w:pPr>
            <w:r w:rsidRPr="007078D3">
              <w:rPr>
                <w:rFonts w:ascii="Times New Roman" w:hAnsi="Times New Roman" w:cs="Times New Roman"/>
                <w:szCs w:val="20"/>
              </w:rPr>
              <w:t>f) Krawężnik typu drogowego 15 × 30 cm na ławie betonowej</w:t>
            </w:r>
          </w:p>
          <w:p w:rsidR="007D7DA5" w:rsidRPr="007078D3" w:rsidRDefault="007D7DA5" w:rsidP="00ED04E8">
            <w:pPr>
              <w:ind w:left="214" w:hanging="214"/>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197100" cy="2268220"/>
                  <wp:effectExtent l="0" t="0" r="0" b="0"/>
                  <wp:docPr id="1263369257"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97100" cy="2268220"/>
                          </a:xfrm>
                          <a:prstGeom prst="rect">
                            <a:avLst/>
                          </a:prstGeom>
                          <a:noFill/>
                          <a:ln>
                            <a:noFill/>
                          </a:ln>
                        </pic:spPr>
                      </pic:pic>
                    </a:graphicData>
                  </a:graphic>
                </wp:inline>
              </w:drawing>
            </w:r>
          </w:p>
          <w:p w:rsidR="007D7DA5" w:rsidRPr="007078D3" w:rsidRDefault="007D7DA5" w:rsidP="00ED04E8">
            <w:pPr>
              <w:ind w:left="317" w:hanging="218"/>
              <w:rPr>
                <w:rFonts w:ascii="Times New Roman" w:hAnsi="Times New Roman" w:cs="Times New Roman"/>
                <w:szCs w:val="20"/>
              </w:rPr>
            </w:pPr>
            <w:r w:rsidRPr="007078D3">
              <w:rPr>
                <w:rFonts w:ascii="Times New Roman" w:hAnsi="Times New Roman" w:cs="Times New Roman"/>
                <w:szCs w:val="20"/>
              </w:rPr>
              <w:t>1. krawężnik, typ drogowy 15×30×100 cm</w:t>
            </w:r>
          </w:p>
          <w:p w:rsidR="007D7DA5" w:rsidRPr="007078D3" w:rsidRDefault="007D7DA5" w:rsidP="00ED04E8">
            <w:pPr>
              <w:ind w:left="317" w:hanging="218"/>
              <w:rPr>
                <w:rFonts w:ascii="Times New Roman" w:hAnsi="Times New Roman" w:cs="Times New Roman"/>
                <w:szCs w:val="20"/>
              </w:rPr>
            </w:pPr>
            <w:r w:rsidRPr="007078D3">
              <w:rPr>
                <w:rFonts w:ascii="Times New Roman" w:hAnsi="Times New Roman" w:cs="Times New Roman"/>
                <w:szCs w:val="20"/>
              </w:rPr>
              <w:t>2. podsypka cem.-piaskowa 1:4</w:t>
            </w:r>
          </w:p>
          <w:p w:rsidR="007D7DA5" w:rsidRPr="007078D3" w:rsidRDefault="007D7DA5" w:rsidP="00ED04E8">
            <w:pPr>
              <w:ind w:left="317" w:hanging="218"/>
              <w:rPr>
                <w:rFonts w:ascii="Times New Roman" w:hAnsi="Times New Roman" w:cs="Times New Roman"/>
                <w:szCs w:val="20"/>
              </w:rPr>
            </w:pPr>
            <w:r w:rsidRPr="007078D3">
              <w:rPr>
                <w:rFonts w:ascii="Times New Roman" w:hAnsi="Times New Roman" w:cs="Times New Roman"/>
                <w:szCs w:val="20"/>
              </w:rPr>
              <w:t>3. ława z betonu C12/15 lub C8/10</w:t>
            </w:r>
          </w:p>
          <w:p w:rsidR="007D7DA5" w:rsidRPr="007078D3" w:rsidRDefault="007D7DA5" w:rsidP="00ED04E8">
            <w:pPr>
              <w:ind w:left="214" w:hanging="214"/>
              <w:rPr>
                <w:rFonts w:ascii="Times New Roman" w:hAnsi="Times New Roman" w:cs="Times New Roman"/>
                <w:szCs w:val="20"/>
              </w:rPr>
            </w:pPr>
            <w:r w:rsidRPr="007078D3">
              <w:rPr>
                <w:rFonts w:ascii="Times New Roman" w:hAnsi="Times New Roman" w:cs="Times New Roman"/>
                <w:szCs w:val="20"/>
              </w:rPr>
              <w:t> </w:t>
            </w:r>
          </w:p>
        </w:tc>
      </w:tr>
      <w:tr w:rsidR="007D7DA5" w:rsidRPr="007078D3" w:rsidTr="007D7DA5">
        <w:tc>
          <w:tcPr>
            <w:tcW w:w="4503" w:type="dxa"/>
            <w:shd w:val="clear" w:color="auto" w:fill="EAEAEA"/>
            <w:tcMar>
              <w:top w:w="0" w:type="dxa"/>
              <w:left w:w="108" w:type="dxa"/>
              <w:bottom w:w="0" w:type="dxa"/>
              <w:right w:w="108" w:type="dxa"/>
            </w:tcMar>
            <w:hideMark/>
          </w:tcPr>
          <w:p w:rsidR="007D7DA5" w:rsidRPr="007078D3" w:rsidRDefault="007D7DA5" w:rsidP="00ED04E8">
            <w:pPr>
              <w:ind w:left="284" w:hanging="284"/>
              <w:rPr>
                <w:rFonts w:ascii="Times New Roman" w:hAnsi="Times New Roman" w:cs="Times New Roman"/>
                <w:szCs w:val="20"/>
              </w:rPr>
            </w:pPr>
            <w:r w:rsidRPr="007078D3">
              <w:rPr>
                <w:rFonts w:ascii="Times New Roman" w:hAnsi="Times New Roman" w:cs="Times New Roman"/>
                <w:szCs w:val="20"/>
              </w:rPr>
              <w:t>g) Krawężnik typu ulicznego 20 × 30 cm ułożony na płask (np. przy wjeździe na chodnik, do bramy)</w:t>
            </w:r>
          </w:p>
          <w:p w:rsidR="007D7DA5" w:rsidRPr="007078D3" w:rsidRDefault="007D7DA5" w:rsidP="00ED04E8">
            <w:pPr>
              <w:ind w:left="284" w:hanging="284"/>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197100" cy="1983105"/>
                  <wp:effectExtent l="0" t="0" r="0" b="0"/>
                  <wp:docPr id="555050924"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97100" cy="1983105"/>
                          </a:xfrm>
                          <a:prstGeom prst="rect">
                            <a:avLst/>
                          </a:prstGeom>
                          <a:noFill/>
                          <a:ln>
                            <a:noFill/>
                          </a:ln>
                        </pic:spPr>
                      </pic:pic>
                    </a:graphicData>
                  </a:graphic>
                </wp:inline>
              </w:drawing>
            </w:r>
          </w:p>
          <w:p w:rsidR="007D7DA5" w:rsidRPr="007078D3" w:rsidRDefault="007D7DA5" w:rsidP="00ED04E8">
            <w:pPr>
              <w:ind w:left="426" w:hanging="360"/>
              <w:rPr>
                <w:rFonts w:ascii="Times New Roman" w:hAnsi="Times New Roman" w:cs="Times New Roman"/>
                <w:szCs w:val="20"/>
              </w:rPr>
            </w:pPr>
            <w:r w:rsidRPr="007078D3">
              <w:rPr>
                <w:rFonts w:ascii="Times New Roman" w:hAnsi="Times New Roman" w:cs="Times New Roman"/>
                <w:szCs w:val="20"/>
              </w:rPr>
              <w:t>1.      krawężnik  20×30×100 cm</w:t>
            </w:r>
          </w:p>
          <w:p w:rsidR="007D7DA5" w:rsidRPr="007078D3" w:rsidRDefault="007D7DA5" w:rsidP="00ED04E8">
            <w:pPr>
              <w:ind w:left="426" w:hanging="360"/>
              <w:rPr>
                <w:rFonts w:ascii="Times New Roman" w:hAnsi="Times New Roman" w:cs="Times New Roman"/>
                <w:szCs w:val="20"/>
              </w:rPr>
            </w:pPr>
            <w:r w:rsidRPr="007078D3">
              <w:rPr>
                <w:rFonts w:ascii="Times New Roman" w:hAnsi="Times New Roman" w:cs="Times New Roman"/>
                <w:szCs w:val="20"/>
              </w:rPr>
              <w:t>2.      podsypka cem.-piaskowa 1:4</w:t>
            </w:r>
          </w:p>
          <w:p w:rsidR="007D7DA5" w:rsidRPr="007078D3" w:rsidRDefault="007D7DA5" w:rsidP="00ED04E8">
            <w:pPr>
              <w:ind w:left="426" w:hanging="360"/>
              <w:rPr>
                <w:rFonts w:ascii="Times New Roman" w:hAnsi="Times New Roman" w:cs="Times New Roman"/>
                <w:szCs w:val="20"/>
              </w:rPr>
            </w:pPr>
            <w:r w:rsidRPr="007078D3">
              <w:rPr>
                <w:rFonts w:ascii="Times New Roman" w:hAnsi="Times New Roman" w:cs="Times New Roman"/>
                <w:szCs w:val="20"/>
              </w:rPr>
              <w:t>3.      ława z betonu C12/15 lub C8/10</w:t>
            </w:r>
          </w:p>
        </w:tc>
        <w:tc>
          <w:tcPr>
            <w:tcW w:w="4428" w:type="dxa"/>
            <w:gridSpan w:val="2"/>
            <w:shd w:val="clear" w:color="auto" w:fill="EAEAEA"/>
            <w:tcMar>
              <w:top w:w="0" w:type="dxa"/>
              <w:left w:w="108" w:type="dxa"/>
              <w:bottom w:w="0" w:type="dxa"/>
              <w:right w:w="108" w:type="dxa"/>
            </w:tcMar>
            <w:hideMark/>
          </w:tcPr>
          <w:p w:rsidR="007D7DA5" w:rsidRPr="007078D3" w:rsidRDefault="007D7DA5" w:rsidP="00ED04E8">
            <w:pPr>
              <w:ind w:left="264" w:hanging="264"/>
              <w:rPr>
                <w:rFonts w:ascii="Times New Roman" w:hAnsi="Times New Roman" w:cs="Times New Roman"/>
                <w:szCs w:val="20"/>
              </w:rPr>
            </w:pPr>
            <w:r w:rsidRPr="007078D3">
              <w:rPr>
                <w:rFonts w:ascii="Times New Roman" w:hAnsi="Times New Roman" w:cs="Times New Roman"/>
                <w:szCs w:val="20"/>
              </w:rPr>
              <w:t>h) Krawężnik typu ulicznego, ze ściekiem betonowym, na ławie betonowej</w:t>
            </w:r>
          </w:p>
          <w:p w:rsidR="007D7DA5" w:rsidRPr="007078D3" w:rsidRDefault="007D7DA5" w:rsidP="00ED04E8">
            <w:pPr>
              <w:ind w:left="264" w:hanging="264"/>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ind w:left="214" w:hanging="214"/>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2291715" cy="1697990"/>
                  <wp:effectExtent l="0" t="0" r="0" b="0"/>
                  <wp:docPr id="1597231631"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91715" cy="1697990"/>
                          </a:xfrm>
                          <a:prstGeom prst="rect">
                            <a:avLst/>
                          </a:prstGeom>
                          <a:noFill/>
                          <a:ln>
                            <a:noFill/>
                          </a:ln>
                        </pic:spPr>
                      </pic:pic>
                    </a:graphicData>
                  </a:graphic>
                </wp:inline>
              </w:drawing>
            </w:r>
          </w:p>
          <w:p w:rsidR="007D7DA5" w:rsidRPr="007078D3" w:rsidRDefault="007D7DA5" w:rsidP="00ED04E8">
            <w:pPr>
              <w:ind w:left="214" w:hanging="214"/>
              <w:jc w:val="center"/>
              <w:rPr>
                <w:rFonts w:ascii="Times New Roman" w:hAnsi="Times New Roman" w:cs="Times New Roman"/>
                <w:szCs w:val="20"/>
              </w:rPr>
            </w:pPr>
            <w:r w:rsidRPr="007078D3">
              <w:rPr>
                <w:rFonts w:ascii="Times New Roman" w:hAnsi="Times New Roman" w:cs="Times New Roman"/>
                <w:szCs w:val="20"/>
              </w:rPr>
              <w:t>WYMIARY  UZUPEŁNIAJĄCE (alternatywne)</w:t>
            </w:r>
          </w:p>
          <w:tbl>
            <w:tblPr>
              <w:tblW w:w="3448" w:type="dxa"/>
              <w:jc w:val="center"/>
              <w:tblCellMar>
                <w:left w:w="0" w:type="dxa"/>
                <w:right w:w="0" w:type="dxa"/>
              </w:tblCellMar>
              <w:tblLook w:val="04A0"/>
            </w:tblPr>
            <w:tblGrid>
              <w:gridCol w:w="1084"/>
              <w:gridCol w:w="852"/>
              <w:gridCol w:w="426"/>
              <w:gridCol w:w="567"/>
              <w:gridCol w:w="519"/>
            </w:tblGrid>
            <w:tr w:rsidR="007D7DA5" w:rsidRPr="007078D3">
              <w:trPr>
                <w:jc w:val="center"/>
              </w:trPr>
              <w:tc>
                <w:tcPr>
                  <w:tcW w:w="1936" w:type="dxa"/>
                  <w:gridSpan w:val="2"/>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ind w:left="884" w:hanging="884"/>
                    <w:jc w:val="center"/>
                    <w:rPr>
                      <w:rFonts w:ascii="Times New Roman" w:hAnsi="Times New Roman" w:cs="Times New Roman"/>
                      <w:szCs w:val="20"/>
                    </w:rPr>
                  </w:pPr>
                  <w:r w:rsidRPr="007078D3">
                    <w:rPr>
                      <w:rFonts w:ascii="Times New Roman" w:hAnsi="Times New Roman" w:cs="Times New Roman"/>
                      <w:szCs w:val="20"/>
                    </w:rPr>
                    <w:t>krawężnik</w:t>
                  </w:r>
                </w:p>
              </w:tc>
              <w:tc>
                <w:tcPr>
                  <w:tcW w:w="426"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a</w:t>
                  </w:r>
                </w:p>
              </w:tc>
              <w:tc>
                <w:tcPr>
                  <w:tcW w:w="567"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b</w:t>
                  </w:r>
                </w:p>
              </w:tc>
              <w:tc>
                <w:tcPr>
                  <w:tcW w:w="519"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c</w:t>
                  </w:r>
                </w:p>
              </w:tc>
            </w:tr>
            <w:tr w:rsidR="007D7DA5" w:rsidRPr="007078D3">
              <w:trPr>
                <w:jc w:val="center"/>
              </w:trPr>
              <w:tc>
                <w:tcPr>
                  <w:tcW w:w="1084" w:type="dxa"/>
                  <w:tcBorders>
                    <w:top w:val="nil"/>
                    <w:left w:val="single" w:sz="8" w:space="0" w:color="auto"/>
                    <w:bottom w:val="nil"/>
                    <w:right w:val="single" w:sz="8" w:space="0" w:color="auto"/>
                  </w:tcBorders>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betonowy</w:t>
                  </w:r>
                </w:p>
              </w:tc>
              <w:tc>
                <w:tcPr>
                  <w:tcW w:w="852" w:type="dxa"/>
                  <w:tcBorders>
                    <w:top w:val="nil"/>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20×30</w:t>
                  </w:r>
                </w:p>
              </w:tc>
              <w:tc>
                <w:tcPr>
                  <w:tcW w:w="426" w:type="dxa"/>
                  <w:tcBorders>
                    <w:top w:val="nil"/>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25</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20</w:t>
                  </w:r>
                </w:p>
              </w:tc>
              <w:tc>
                <w:tcPr>
                  <w:tcW w:w="519" w:type="dxa"/>
                  <w:tcBorders>
                    <w:top w:val="nil"/>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15</w:t>
                  </w:r>
                </w:p>
              </w:tc>
            </w:tr>
            <w:tr w:rsidR="007D7DA5" w:rsidRPr="007078D3">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 </w:t>
                  </w:r>
                </w:p>
              </w:tc>
              <w:tc>
                <w:tcPr>
                  <w:tcW w:w="852" w:type="dxa"/>
                  <w:tcBorders>
                    <w:top w:val="nil"/>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15×30</w:t>
                  </w:r>
                </w:p>
              </w:tc>
              <w:tc>
                <w:tcPr>
                  <w:tcW w:w="426" w:type="dxa"/>
                  <w:tcBorders>
                    <w:top w:val="nil"/>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20</w:t>
                  </w:r>
                </w:p>
              </w:tc>
              <w:tc>
                <w:tcPr>
                  <w:tcW w:w="567" w:type="dxa"/>
                  <w:tcBorders>
                    <w:top w:val="nil"/>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15</w:t>
                  </w:r>
                </w:p>
              </w:tc>
              <w:tc>
                <w:tcPr>
                  <w:tcW w:w="519" w:type="dxa"/>
                  <w:tcBorders>
                    <w:top w:val="nil"/>
                    <w:left w:val="nil"/>
                    <w:bottom w:val="single" w:sz="8" w:space="0" w:color="auto"/>
                    <w:right w:val="single" w:sz="8" w:space="0" w:color="auto"/>
                  </w:tcBorders>
                  <w:noWrap/>
                  <w:tcMar>
                    <w:top w:w="0" w:type="dxa"/>
                    <w:left w:w="108" w:type="dxa"/>
                    <w:bottom w:w="0" w:type="dxa"/>
                    <w:right w:w="108" w:type="dxa"/>
                  </w:tcMar>
                  <w:hideMark/>
                </w:tcPr>
                <w:p w:rsidR="007D7DA5" w:rsidRPr="007078D3" w:rsidRDefault="007D7DA5" w:rsidP="00ED04E8">
                  <w:pPr>
                    <w:jc w:val="center"/>
                    <w:rPr>
                      <w:rFonts w:ascii="Times New Roman" w:hAnsi="Times New Roman" w:cs="Times New Roman"/>
                      <w:szCs w:val="20"/>
                    </w:rPr>
                  </w:pPr>
                  <w:r w:rsidRPr="007078D3">
                    <w:rPr>
                      <w:rFonts w:ascii="Times New Roman" w:hAnsi="Times New Roman" w:cs="Times New Roman"/>
                      <w:szCs w:val="20"/>
                    </w:rPr>
                    <w:t>10</w:t>
                  </w:r>
                </w:p>
              </w:tc>
            </w:tr>
          </w:tbl>
          <w:p w:rsidR="007D7DA5" w:rsidRPr="007078D3" w:rsidRDefault="007D7DA5" w:rsidP="00ED04E8">
            <w:pPr>
              <w:ind w:left="214" w:hanging="214"/>
              <w:rPr>
                <w:rFonts w:ascii="Times New Roman" w:hAnsi="Times New Roman" w:cs="Times New Roman"/>
                <w:szCs w:val="20"/>
              </w:rPr>
            </w:pPr>
            <w:r w:rsidRPr="007078D3">
              <w:rPr>
                <w:rFonts w:ascii="Times New Roman" w:hAnsi="Times New Roman" w:cs="Times New Roman"/>
                <w:szCs w:val="20"/>
              </w:rPr>
              <w:t> </w:t>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lastRenderedPageBreak/>
              <w:t>1.      krawężnik, typ uliczny</w:t>
            </w:r>
            <w:r w:rsidRPr="007078D3">
              <w:rPr>
                <w:rFonts w:ascii="Times New Roman" w:hAnsi="Times New Roman" w:cs="Times New Roman"/>
                <w:szCs w:val="20"/>
              </w:rPr>
              <w:br/>
              <w:t>15(20)×30×100 cm</w:t>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t>2.      ściek betonowy</w:t>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t>3.      podsypka cem.-piaskowa 1:4</w:t>
            </w:r>
          </w:p>
          <w:p w:rsidR="007D7DA5" w:rsidRPr="007078D3" w:rsidRDefault="007D7DA5" w:rsidP="00ED04E8">
            <w:pPr>
              <w:ind w:left="459" w:hanging="360"/>
              <w:rPr>
                <w:rFonts w:ascii="Times New Roman" w:hAnsi="Times New Roman" w:cs="Times New Roman"/>
                <w:szCs w:val="20"/>
              </w:rPr>
            </w:pPr>
            <w:r w:rsidRPr="007078D3">
              <w:rPr>
                <w:rFonts w:ascii="Times New Roman" w:hAnsi="Times New Roman" w:cs="Times New Roman"/>
                <w:szCs w:val="20"/>
              </w:rPr>
              <w:t>4.      ława z betonu C12/15 lub C8/10</w:t>
            </w:r>
          </w:p>
        </w:tc>
      </w:tr>
      <w:tr w:rsidR="007D7DA5" w:rsidRPr="007078D3" w:rsidTr="007D7DA5">
        <w:tc>
          <w:tcPr>
            <w:tcW w:w="4500" w:type="dxa"/>
            <w:shd w:val="clear" w:color="auto" w:fill="EAEAEA"/>
            <w:vAlign w:val="center"/>
            <w:hideMark/>
          </w:tcPr>
          <w:p w:rsidR="007D7DA5" w:rsidRPr="007078D3" w:rsidRDefault="007D7DA5" w:rsidP="00ED04E8">
            <w:pPr>
              <w:rPr>
                <w:rFonts w:ascii="Times New Roman" w:hAnsi="Times New Roman" w:cs="Times New Roman"/>
                <w:szCs w:val="20"/>
              </w:rPr>
            </w:pPr>
          </w:p>
        </w:tc>
        <w:tc>
          <w:tcPr>
            <w:tcW w:w="30" w:type="dxa"/>
            <w:shd w:val="clear" w:color="auto" w:fill="EAEAEA"/>
            <w:vAlign w:val="center"/>
            <w:hideMark/>
          </w:tcPr>
          <w:p w:rsidR="007D7DA5" w:rsidRPr="007078D3" w:rsidRDefault="007D7DA5" w:rsidP="00ED04E8">
            <w:pPr>
              <w:rPr>
                <w:rFonts w:ascii="Times New Roman" w:hAnsi="Times New Roman" w:cs="Times New Roman"/>
                <w:szCs w:val="20"/>
              </w:rPr>
            </w:pPr>
          </w:p>
        </w:tc>
        <w:tc>
          <w:tcPr>
            <w:tcW w:w="4395" w:type="dxa"/>
            <w:shd w:val="clear" w:color="auto" w:fill="EAEAEA"/>
            <w:vAlign w:val="center"/>
            <w:hideMark/>
          </w:tcPr>
          <w:p w:rsidR="007D7DA5" w:rsidRPr="007078D3" w:rsidRDefault="007D7DA5" w:rsidP="00ED04E8">
            <w:pPr>
              <w:rPr>
                <w:rFonts w:ascii="Times New Roman" w:hAnsi="Times New Roman" w:cs="Times New Roman"/>
                <w:szCs w:val="20"/>
              </w:rPr>
            </w:pPr>
          </w:p>
        </w:tc>
      </w:tr>
    </w:tbl>
    <w:p w:rsidR="007D7DA5" w:rsidRPr="007078D3"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9F0E46" w:rsidRPr="00ED04E8" w:rsidRDefault="007D7DA5" w:rsidP="00ED04E8">
      <w:pPr>
        <w:rPr>
          <w:rFonts w:ascii="Times New Roman" w:hAnsi="Times New Roman" w:cs="Times New Roman"/>
          <w:color w:val="000000"/>
          <w:szCs w:val="20"/>
        </w:rPr>
      </w:pPr>
      <w:r w:rsidRPr="007078D3">
        <w:rPr>
          <w:rFonts w:ascii="Times New Roman" w:hAnsi="Times New Roman" w:cs="Times New Roman"/>
          <w:color w:val="000000"/>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11. ZAŁĄCZNIKI</w:t>
      </w:r>
      <w:bookmarkEnd w:id="1334"/>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ZAŁĄCZNIK 1</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GEOMETRIA   KRAWĘŻNIKÓW (wg [5])</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1.1. Przykład kształtu krawężnika przeznaczonego do ryglowania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3571875" cy="1532449"/>
            <wp:effectExtent l="0" t="0" r="0" b="9525"/>
            <wp:docPr id="37" name="Obraz 37" descr="bz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z1_1"/>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71875" cy="1532449"/>
                    </a:xfrm>
                    <a:prstGeom prst="rect">
                      <a:avLst/>
                    </a:prstGeom>
                    <a:noFill/>
                    <a:ln>
                      <a:noFill/>
                    </a:ln>
                  </pic:spPr>
                </pic:pic>
              </a:graphicData>
            </a:graphic>
          </wp:inline>
        </w:drawing>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Oznaczenia: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Y ≤ X – 3 mm i Z</w:t>
      </w:r>
      <w:r w:rsidRPr="007078D3">
        <w:rPr>
          <w:rFonts w:ascii="Times New Roman" w:hAnsi="Times New Roman" w:cs="Times New Roman"/>
          <w:szCs w:val="20"/>
          <w:vertAlign w:val="subscript"/>
        </w:rPr>
        <w:t>Y</w:t>
      </w:r>
      <w:r w:rsidRPr="007078D3">
        <w:rPr>
          <w:rFonts w:ascii="Times New Roman" w:hAnsi="Times New Roman" w:cs="Times New Roman"/>
          <w:szCs w:val="20"/>
        </w:rPr>
        <w:t xml:space="preserve"> ≤ Z</w:t>
      </w:r>
      <w:r w:rsidRPr="007078D3">
        <w:rPr>
          <w:rFonts w:ascii="Times New Roman" w:hAnsi="Times New Roman" w:cs="Times New Roman"/>
          <w:szCs w:val="20"/>
          <w:vertAlign w:val="subscript"/>
        </w:rPr>
        <w:t>X</w:t>
      </w:r>
      <w:r w:rsidRPr="007078D3">
        <w:rPr>
          <w:rFonts w:ascii="Times New Roman" w:hAnsi="Times New Roman" w:cs="Times New Roman"/>
          <w:szCs w:val="20"/>
        </w:rPr>
        <w:t xml:space="preserve"> – 3 mm,  X minimum: ≥ 1/5 </w:t>
      </w:r>
      <w:r w:rsidRPr="007078D3">
        <w:rPr>
          <w:rFonts w:ascii="Times New Roman" w:hAnsi="Times New Roman" w:cs="Times New Roman"/>
          <w:i/>
          <w:szCs w:val="20"/>
        </w:rPr>
        <w:t>b</w:t>
      </w:r>
      <w:r w:rsidRPr="007078D3">
        <w:rPr>
          <w:rFonts w:ascii="Times New Roman" w:hAnsi="Times New Roman" w:cs="Times New Roman"/>
          <w:szCs w:val="20"/>
        </w:rPr>
        <w:t xml:space="preserve"> i ≥ 20 mm,</w:t>
      </w:r>
    </w:p>
    <w:p w:rsidR="00A913F5" w:rsidRPr="007078D3" w:rsidRDefault="00A913F5" w:rsidP="00ED04E8">
      <w:pPr>
        <w:rPr>
          <w:rFonts w:ascii="Times New Roman" w:hAnsi="Times New Roman" w:cs="Times New Roman"/>
          <w:szCs w:val="20"/>
          <w:lang w:val="en-US"/>
        </w:rPr>
      </w:pPr>
      <w:r w:rsidRPr="007078D3">
        <w:rPr>
          <w:rFonts w:ascii="Times New Roman" w:hAnsi="Times New Roman" w:cs="Times New Roman"/>
          <w:szCs w:val="20"/>
          <w:lang w:val="en-US"/>
        </w:rPr>
        <w:t xml:space="preserve">X maximum: ≤ 1/3 </w:t>
      </w:r>
      <w:r w:rsidRPr="007078D3">
        <w:rPr>
          <w:rFonts w:ascii="Times New Roman" w:hAnsi="Times New Roman" w:cs="Times New Roman"/>
          <w:i/>
          <w:szCs w:val="20"/>
          <w:lang w:val="en-US"/>
        </w:rPr>
        <w:t>b</w:t>
      </w:r>
      <w:r w:rsidRPr="007078D3">
        <w:rPr>
          <w:rFonts w:ascii="Times New Roman" w:hAnsi="Times New Roman" w:cs="Times New Roman"/>
          <w:szCs w:val="20"/>
          <w:lang w:val="en-US"/>
        </w:rPr>
        <w:t xml:space="preserve"> i  ≤ 70 mm,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Z</w:t>
      </w:r>
      <w:r w:rsidRPr="007078D3">
        <w:rPr>
          <w:rFonts w:ascii="Times New Roman" w:hAnsi="Times New Roman" w:cs="Times New Roman"/>
          <w:szCs w:val="20"/>
          <w:vertAlign w:val="subscript"/>
        </w:rPr>
        <w:t>Y</w:t>
      </w:r>
      <w:r w:rsidRPr="007078D3">
        <w:rPr>
          <w:rFonts w:ascii="Times New Roman" w:hAnsi="Times New Roman" w:cs="Times New Roman"/>
          <w:szCs w:val="20"/>
        </w:rPr>
        <w:t xml:space="preserve"> maximum: Y/2,</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Tolerancja dla X i Z</w:t>
      </w:r>
      <w:r w:rsidRPr="007078D3">
        <w:rPr>
          <w:rFonts w:ascii="Times New Roman" w:hAnsi="Times New Roman" w:cs="Times New Roman"/>
          <w:szCs w:val="20"/>
          <w:vertAlign w:val="subscript"/>
        </w:rPr>
        <w:t>X</w:t>
      </w:r>
      <w:r w:rsidRPr="007078D3">
        <w:rPr>
          <w:rFonts w:ascii="Times New Roman" w:hAnsi="Times New Roman" w:cs="Times New Roman"/>
          <w:szCs w:val="20"/>
        </w:rPr>
        <w:t xml:space="preserve">   -1, +2 mm,</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Tolerancja dla Y i Z</w:t>
      </w:r>
      <w:r w:rsidRPr="007078D3">
        <w:rPr>
          <w:rFonts w:ascii="Times New Roman" w:hAnsi="Times New Roman" w:cs="Times New Roman"/>
          <w:szCs w:val="20"/>
          <w:vertAlign w:val="subscript"/>
        </w:rPr>
        <w:t>Y</w:t>
      </w:r>
      <w:r w:rsidRPr="007078D3">
        <w:rPr>
          <w:rFonts w:ascii="Times New Roman" w:hAnsi="Times New Roman" w:cs="Times New Roman"/>
          <w:szCs w:val="20"/>
        </w:rPr>
        <w:t xml:space="preserve"> – 2, +1 mm,</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L – Długość elementu krawężnika,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w:t>
      </w:r>
      <w:r w:rsidRPr="007078D3">
        <w:rPr>
          <w:rFonts w:ascii="Times New Roman" w:hAnsi="Times New Roman" w:cs="Times New Roman"/>
          <w:i/>
          <w:szCs w:val="20"/>
        </w:rPr>
        <w:t xml:space="preserve"> –</w:t>
      </w:r>
      <w:r w:rsidRPr="007078D3">
        <w:rPr>
          <w:rFonts w:ascii="Times New Roman" w:hAnsi="Times New Roman" w:cs="Times New Roman"/>
          <w:szCs w:val="20"/>
        </w:rPr>
        <w:t xml:space="preserve"> Szerokość elementu krawężnika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1.2. Przykład wgłębienia lub wcięcia powierzchni czołowej w dolnej części krawężnika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733550" cy="1749215"/>
            <wp:effectExtent l="0" t="0" r="0" b="3810"/>
            <wp:docPr id="36" name="Obraz 36" descr="bz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z1_2"/>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40836" cy="1756567"/>
                    </a:xfrm>
                    <a:prstGeom prst="rect">
                      <a:avLst/>
                    </a:prstGeom>
                    <a:noFill/>
                    <a:ln>
                      <a:noFill/>
                    </a:ln>
                  </pic:spPr>
                </pic:pic>
              </a:graphicData>
            </a:graphic>
          </wp:inline>
        </w:drawing>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Oznaczenia: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H – Wysokość elementu krawężnika,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 h – wysokość wgłębienia lub wcięcia,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 – szerokość elementu krawężnika,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L – długość elementu krawężnika,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l – długość wgłębienia lub wcięcia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ZAŁĄCZNIK 2</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PRZYKŁADY  KRAWĘŻNIKÓW  ŁUKOWYCH (wg [5])</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 wklęsłego</w:t>
      </w:r>
      <w:r w:rsidRPr="007078D3">
        <w:rPr>
          <w:rFonts w:ascii="Times New Roman" w:hAnsi="Times New Roman" w:cs="Times New Roman"/>
          <w:szCs w:val="20"/>
        </w:rPr>
        <w:tab/>
      </w:r>
      <w:r w:rsidRPr="007078D3">
        <w:rPr>
          <w:rFonts w:ascii="Times New Roman" w:hAnsi="Times New Roman" w:cs="Times New Roman"/>
          <w:szCs w:val="20"/>
        </w:rPr>
        <w:tab/>
      </w:r>
      <w:r w:rsidRPr="007078D3">
        <w:rPr>
          <w:rFonts w:ascii="Times New Roman" w:hAnsi="Times New Roman" w:cs="Times New Roman"/>
          <w:szCs w:val="20"/>
        </w:rPr>
        <w:tab/>
      </w:r>
      <w:r w:rsidRPr="007078D3">
        <w:rPr>
          <w:rFonts w:ascii="Times New Roman" w:hAnsi="Times New Roman" w:cs="Times New Roman"/>
          <w:szCs w:val="20"/>
        </w:rPr>
        <w:tab/>
      </w:r>
      <w:r w:rsidRPr="007078D3">
        <w:rPr>
          <w:rFonts w:ascii="Times New Roman" w:hAnsi="Times New Roman" w:cs="Times New Roman"/>
          <w:szCs w:val="20"/>
        </w:rPr>
        <w:tab/>
        <w:t>b) wypukłego</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noProof/>
          <w:szCs w:val="20"/>
          <w:lang w:eastAsia="pl-PL"/>
        </w:rPr>
        <w:lastRenderedPageBreak/>
        <w:drawing>
          <wp:inline distT="0" distB="0" distL="0" distR="0">
            <wp:extent cx="3190875" cy="1241997"/>
            <wp:effectExtent l="0" t="0" r="0" b="0"/>
            <wp:docPr id="35" name="Obraz 35" descr="bz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z2_1"/>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12031" cy="1250232"/>
                    </a:xfrm>
                    <a:prstGeom prst="rect">
                      <a:avLst/>
                    </a:prstGeom>
                    <a:noFill/>
                    <a:ln>
                      <a:noFill/>
                    </a:ln>
                  </pic:spPr>
                </pic:pic>
              </a:graphicData>
            </a:graphic>
          </wp:inline>
        </w:drawing>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Oznaczenia: 1 – Krawężnik, 2 – Jezdnia, 3 – Długość, 4 – Promień, 5 – Kanał odpływowy</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ZAŁĄCZNIK 3</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PRZYKŁADY  KRAWĘŻNIKÓW  TYPU  ULICZNEGO  I  DROGOWEGO</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(wg BN-80/6775-03/04 Prefabrykaty budowlane z betonu. Elementy nawierzchni dróg, ulic, parkingów i torowisk tramwajowych. Krawężniki i obrzeża chodnikowe)</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tbl>
      <w:tblPr>
        <w:tblW w:w="0" w:type="auto"/>
        <w:tblLook w:val="01E0"/>
      </w:tblPr>
      <w:tblGrid>
        <w:gridCol w:w="4395"/>
        <w:gridCol w:w="4110"/>
      </w:tblGrid>
      <w:tr w:rsidR="00A913F5" w:rsidRPr="007078D3" w:rsidTr="00A913F5">
        <w:tc>
          <w:tcPr>
            <w:tcW w:w="4395"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 Krawężnik typu ulicznego</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943100" cy="848863"/>
                  <wp:effectExtent l="0" t="0" r="0" b="8890"/>
                  <wp:docPr id="34" name="Obraz 34" descr="C:\Users\p.sokal\Desktop\Pomoce\OST_2.27\ost\Elementy_ulic\d080101b_pliki\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p.sokal\Desktop\Pomoce\OST_2.27\ost\Elementy_ulic\d080101b_pliki\image010.jpg"/>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54958" cy="854043"/>
                          </a:xfrm>
                          <a:prstGeom prst="rect">
                            <a:avLst/>
                          </a:prstGeom>
                          <a:noFill/>
                          <a:ln>
                            <a:noFill/>
                          </a:ln>
                        </pic:spPr>
                      </pic:pic>
                    </a:graphicData>
                  </a:graphic>
                </wp:inline>
              </w:drawing>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tc>
        <w:tc>
          <w:tcPr>
            <w:tcW w:w="4110"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b) Krawężnik typu drogowego</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724025" cy="813945"/>
                  <wp:effectExtent l="0" t="0" r="0" b="5715"/>
                  <wp:docPr id="33" name="Obraz 33" descr="C:\Users\p.sokal\Desktop\Pomoce\OST_2.27\ost\Elementy_ulic\d080101b_pliki\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p.sokal\Desktop\Pomoce\OST_2.27\ost\Elementy_ulic\d080101b_pliki\image012.jpg"/>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48928" cy="825702"/>
                          </a:xfrm>
                          <a:prstGeom prst="rect">
                            <a:avLst/>
                          </a:prstGeom>
                          <a:noFill/>
                          <a:ln>
                            <a:noFill/>
                          </a:ln>
                        </pic:spPr>
                      </pic:pic>
                    </a:graphicData>
                  </a:graphic>
                </wp:inline>
              </w:drawing>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tc>
      </w:tr>
    </w:tbl>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Przykładowe wymiary krawężników</w:t>
      </w:r>
    </w:p>
    <w:tbl>
      <w:tblPr>
        <w:tblW w:w="0" w:type="auto"/>
        <w:tblInd w:w="250" w:type="dxa"/>
        <w:tblBorders>
          <w:top w:val="single" w:sz="4" w:space="0" w:color="auto"/>
          <w:left w:val="single" w:sz="4" w:space="0" w:color="auto"/>
          <w:bottom w:val="single" w:sz="4" w:space="0" w:color="auto"/>
          <w:right w:val="single" w:sz="4" w:space="0" w:color="auto"/>
        </w:tblBorders>
        <w:tblLook w:val="01E0"/>
      </w:tblPr>
      <w:tblGrid>
        <w:gridCol w:w="1276"/>
        <w:gridCol w:w="709"/>
        <w:gridCol w:w="850"/>
        <w:gridCol w:w="851"/>
        <w:gridCol w:w="1134"/>
        <w:gridCol w:w="1134"/>
        <w:gridCol w:w="1134"/>
      </w:tblGrid>
      <w:tr w:rsidR="00A913F5" w:rsidRPr="007078D3" w:rsidTr="00A913F5">
        <w:tc>
          <w:tcPr>
            <w:tcW w:w="1276" w:type="dxa"/>
            <w:tcBorders>
              <w:top w:val="single" w:sz="4" w:space="0" w:color="auto"/>
              <w:left w:val="single" w:sz="4" w:space="0" w:color="auto"/>
              <w:bottom w:val="nil"/>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Typ </w:t>
            </w:r>
          </w:p>
        </w:tc>
        <w:tc>
          <w:tcPr>
            <w:tcW w:w="5812" w:type="dxa"/>
            <w:gridSpan w:val="6"/>
            <w:tcBorders>
              <w:top w:val="sing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Wymiary krawężników, cm</w:t>
            </w:r>
          </w:p>
        </w:tc>
      </w:tr>
      <w:tr w:rsidR="00A913F5" w:rsidRPr="007078D3" w:rsidTr="00A913F5">
        <w:tc>
          <w:tcPr>
            <w:tcW w:w="1276" w:type="dxa"/>
            <w:tcBorders>
              <w:top w:val="nil"/>
              <w:left w:val="single" w:sz="4" w:space="0" w:color="auto"/>
              <w:bottom w:val="doub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krawężnika</w:t>
            </w:r>
          </w:p>
        </w:tc>
        <w:tc>
          <w:tcPr>
            <w:tcW w:w="709" w:type="dxa"/>
            <w:tcBorders>
              <w:top w:val="single" w:sz="4" w:space="0" w:color="auto"/>
              <w:left w:val="single" w:sz="4" w:space="0" w:color="auto"/>
              <w:bottom w:val="doub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l</w:t>
            </w:r>
          </w:p>
        </w:tc>
        <w:tc>
          <w:tcPr>
            <w:tcW w:w="850" w:type="dxa"/>
            <w:tcBorders>
              <w:top w:val="single" w:sz="4" w:space="0" w:color="auto"/>
              <w:left w:val="single" w:sz="4" w:space="0" w:color="auto"/>
              <w:bottom w:val="doub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b</w:t>
            </w:r>
          </w:p>
        </w:tc>
        <w:tc>
          <w:tcPr>
            <w:tcW w:w="851" w:type="dxa"/>
            <w:tcBorders>
              <w:top w:val="single" w:sz="4" w:space="0" w:color="auto"/>
              <w:left w:val="single" w:sz="4" w:space="0" w:color="auto"/>
              <w:bottom w:val="doub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h</w:t>
            </w:r>
          </w:p>
        </w:tc>
        <w:tc>
          <w:tcPr>
            <w:tcW w:w="1134" w:type="dxa"/>
            <w:tcBorders>
              <w:top w:val="single" w:sz="4" w:space="0" w:color="auto"/>
              <w:left w:val="single" w:sz="4" w:space="0" w:color="auto"/>
              <w:bottom w:val="doub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c</w:t>
            </w:r>
          </w:p>
        </w:tc>
        <w:tc>
          <w:tcPr>
            <w:tcW w:w="1134" w:type="dxa"/>
            <w:tcBorders>
              <w:top w:val="single" w:sz="4" w:space="0" w:color="auto"/>
              <w:left w:val="single" w:sz="4" w:space="0" w:color="auto"/>
              <w:bottom w:val="doub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d</w:t>
            </w:r>
          </w:p>
        </w:tc>
        <w:tc>
          <w:tcPr>
            <w:tcW w:w="1134" w:type="dxa"/>
            <w:tcBorders>
              <w:top w:val="single" w:sz="4" w:space="0" w:color="auto"/>
              <w:left w:val="single" w:sz="4" w:space="0" w:color="auto"/>
              <w:bottom w:val="doub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r</w:t>
            </w:r>
          </w:p>
        </w:tc>
      </w:tr>
      <w:tr w:rsidR="00A913F5" w:rsidRPr="007078D3" w:rsidTr="00A913F5">
        <w:tc>
          <w:tcPr>
            <w:tcW w:w="1276" w:type="dxa"/>
            <w:tcBorders>
              <w:top w:val="doub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Uliczny</w:t>
            </w:r>
          </w:p>
        </w:tc>
        <w:tc>
          <w:tcPr>
            <w:tcW w:w="709" w:type="dxa"/>
            <w:tcBorders>
              <w:top w:val="doub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100</w:t>
            </w:r>
          </w:p>
        </w:tc>
        <w:tc>
          <w:tcPr>
            <w:tcW w:w="850" w:type="dxa"/>
            <w:tcBorders>
              <w:top w:val="doub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20</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15</w:t>
            </w:r>
          </w:p>
        </w:tc>
        <w:tc>
          <w:tcPr>
            <w:tcW w:w="851" w:type="dxa"/>
            <w:tcBorders>
              <w:top w:val="doub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30</w:t>
            </w:r>
          </w:p>
        </w:tc>
        <w:tc>
          <w:tcPr>
            <w:tcW w:w="1134" w:type="dxa"/>
            <w:tcBorders>
              <w:top w:val="doub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min. 3</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max. 7</w:t>
            </w:r>
          </w:p>
        </w:tc>
        <w:tc>
          <w:tcPr>
            <w:tcW w:w="1134" w:type="dxa"/>
            <w:tcBorders>
              <w:top w:val="doub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min. 12</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max. 15</w:t>
            </w:r>
          </w:p>
        </w:tc>
        <w:tc>
          <w:tcPr>
            <w:tcW w:w="1134" w:type="dxa"/>
            <w:tcBorders>
              <w:top w:val="doub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1,0</w:t>
            </w:r>
          </w:p>
        </w:tc>
      </w:tr>
      <w:tr w:rsidR="00A913F5" w:rsidRPr="007078D3" w:rsidTr="00A913F5">
        <w:tc>
          <w:tcPr>
            <w:tcW w:w="1276" w:type="dxa"/>
            <w:tcBorders>
              <w:top w:val="sing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Drogowy</w:t>
            </w:r>
          </w:p>
        </w:tc>
        <w:tc>
          <w:tcPr>
            <w:tcW w:w="709" w:type="dxa"/>
            <w:tcBorders>
              <w:top w:val="sing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100</w:t>
            </w:r>
          </w:p>
        </w:tc>
        <w:tc>
          <w:tcPr>
            <w:tcW w:w="850" w:type="dxa"/>
            <w:tcBorders>
              <w:top w:val="sing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15</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12</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10</w:t>
            </w:r>
          </w:p>
        </w:tc>
        <w:tc>
          <w:tcPr>
            <w:tcW w:w="851" w:type="dxa"/>
            <w:tcBorders>
              <w:top w:val="sing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20</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25</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25</w:t>
            </w:r>
          </w:p>
        </w:tc>
        <w:tc>
          <w:tcPr>
            <w:tcW w:w="1134" w:type="dxa"/>
            <w:tcBorders>
              <w:top w:val="sing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t>
            </w:r>
          </w:p>
        </w:tc>
        <w:tc>
          <w:tcPr>
            <w:tcW w:w="1134" w:type="dxa"/>
            <w:tcBorders>
              <w:top w:val="sing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t>
            </w:r>
          </w:p>
        </w:tc>
        <w:tc>
          <w:tcPr>
            <w:tcW w:w="1134" w:type="dxa"/>
            <w:tcBorders>
              <w:top w:val="single" w:sz="4" w:space="0" w:color="auto"/>
              <w:left w:val="single" w:sz="4" w:space="0" w:color="auto"/>
              <w:bottom w:val="single" w:sz="4" w:space="0" w:color="auto"/>
              <w:right w:val="single" w:sz="4"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1,0</w:t>
            </w:r>
          </w:p>
        </w:tc>
      </w:tr>
    </w:tbl>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ZAŁĄCZNIK 4</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pacing w:val="-8"/>
          <w:szCs w:val="20"/>
        </w:rPr>
        <w:t>PRZYKŁADY  USTAWIENIA  KRAWĘŻNIKÓW  BETONOWYCH  NA  ŁAWACH (wg [13])</w:t>
      </w:r>
    </w:p>
    <w:tbl>
      <w:tblPr>
        <w:tblW w:w="0" w:type="auto"/>
        <w:tblLook w:val="01E0"/>
      </w:tblPr>
      <w:tblGrid>
        <w:gridCol w:w="4111"/>
        <w:gridCol w:w="4253"/>
      </w:tblGrid>
      <w:tr w:rsidR="00A913F5" w:rsidRPr="007078D3" w:rsidTr="00A913F5">
        <w:trPr>
          <w:trHeight w:val="4776"/>
        </w:trPr>
        <w:tc>
          <w:tcPr>
            <w:tcW w:w="4111"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 Krawężnik typu ulicznego 20 ×  30 cm</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     na ławie betonowej z oporem</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371600" cy="1588168"/>
                  <wp:effectExtent l="0" t="0" r="0" b="0"/>
                  <wp:docPr id="32" name="Obraz 32" descr="bz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z4_1"/>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74875" cy="1591960"/>
                          </a:xfrm>
                          <a:prstGeom prst="rect">
                            <a:avLst/>
                          </a:prstGeom>
                          <a:noFill/>
                          <a:ln>
                            <a:noFill/>
                          </a:ln>
                        </pic:spPr>
                      </pic:pic>
                    </a:graphicData>
                  </a:graphic>
                </wp:inline>
              </w:drawing>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 krawężnik, typ ciężki 20× 30× 100 cm</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 podsypka cem.-piaskowa 1:4</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3. ława z betonu B10</w:t>
            </w:r>
          </w:p>
          <w:p w:rsidR="00A913F5" w:rsidRDefault="00A913F5" w:rsidP="00ED04E8">
            <w:pPr>
              <w:rPr>
                <w:rFonts w:ascii="Times New Roman" w:hAnsi="Times New Roman" w:cs="Times New Roman"/>
                <w:szCs w:val="20"/>
              </w:rPr>
            </w:pPr>
            <w:r w:rsidRPr="007078D3">
              <w:rPr>
                <w:rFonts w:ascii="Times New Roman" w:hAnsi="Times New Roman" w:cs="Times New Roman"/>
                <w:szCs w:val="20"/>
              </w:rPr>
              <w:t> </w:t>
            </w:r>
          </w:p>
          <w:p w:rsidR="00DA78E2" w:rsidRDefault="00DA78E2" w:rsidP="00ED04E8">
            <w:pPr>
              <w:rPr>
                <w:rFonts w:ascii="Times New Roman" w:hAnsi="Times New Roman" w:cs="Times New Roman"/>
                <w:szCs w:val="20"/>
              </w:rPr>
            </w:pPr>
          </w:p>
          <w:p w:rsidR="00DA78E2" w:rsidRDefault="00DA78E2" w:rsidP="00ED04E8">
            <w:pPr>
              <w:rPr>
                <w:rFonts w:ascii="Times New Roman" w:hAnsi="Times New Roman" w:cs="Times New Roman"/>
                <w:szCs w:val="20"/>
              </w:rPr>
            </w:pPr>
          </w:p>
          <w:p w:rsidR="00DA78E2" w:rsidRDefault="00DA78E2" w:rsidP="00ED04E8">
            <w:pPr>
              <w:rPr>
                <w:rFonts w:ascii="Times New Roman" w:hAnsi="Times New Roman" w:cs="Times New Roman"/>
                <w:szCs w:val="20"/>
              </w:rPr>
            </w:pPr>
          </w:p>
          <w:p w:rsidR="00DA78E2" w:rsidRDefault="00DA78E2" w:rsidP="00ED04E8">
            <w:pPr>
              <w:rPr>
                <w:rFonts w:ascii="Times New Roman" w:hAnsi="Times New Roman" w:cs="Times New Roman"/>
                <w:szCs w:val="20"/>
              </w:rPr>
            </w:pPr>
          </w:p>
          <w:p w:rsidR="00DA78E2" w:rsidRPr="00E847A6" w:rsidRDefault="00DA78E2" w:rsidP="00E847A6">
            <w:pPr>
              <w:rPr>
                <w:rFonts w:ascii="Times New Roman" w:hAnsi="Times New Roman" w:cs="Times New Roman"/>
                <w:szCs w:val="20"/>
              </w:rPr>
            </w:pPr>
          </w:p>
        </w:tc>
        <w:tc>
          <w:tcPr>
            <w:tcW w:w="4253"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b) Krawężnik typu ulicznego 15 ×  30 cm</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     na ławie betonowej zwykłej</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noProof/>
                <w:szCs w:val="20"/>
                <w:lang w:eastAsia="pl-PL"/>
              </w:rPr>
              <w:drawing>
                <wp:inline distT="0" distB="0" distL="0" distR="0">
                  <wp:extent cx="1276350" cy="1588085"/>
                  <wp:effectExtent l="0" t="0" r="0" b="0"/>
                  <wp:docPr id="31" name="Obraz 31" descr="bz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z4_2"/>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2142" cy="1595292"/>
                          </a:xfrm>
                          <a:prstGeom prst="rect">
                            <a:avLst/>
                          </a:prstGeom>
                          <a:noFill/>
                          <a:ln>
                            <a:noFill/>
                          </a:ln>
                        </pic:spPr>
                      </pic:pic>
                    </a:graphicData>
                  </a:graphic>
                </wp:inline>
              </w:drawing>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 krawężnik, typ uliczny 15× 30× 100 cm</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 podsypka cem.-piaskowa 1:4</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3. ława z betonu B10</w:t>
            </w:r>
          </w:p>
        </w:tc>
      </w:tr>
    </w:tbl>
    <w:p w:rsidR="00061EAA" w:rsidRDefault="00061EAA" w:rsidP="00E847A6">
      <w:pPr>
        <w:pStyle w:val="Bezodstpw"/>
        <w:spacing w:line="240" w:lineRule="auto"/>
        <w:jc w:val="both"/>
        <w:rPr>
          <w:rFonts w:ascii="Times New Roman" w:hAnsi="Times New Roman" w:cs="Times New Roman"/>
          <w:sz w:val="20"/>
          <w:szCs w:val="20"/>
          <w:lang w:eastAsia="pl-PL"/>
        </w:rPr>
      </w:pPr>
      <w:bookmarkStart w:id="1345" w:name="_Toc505758693"/>
      <w:bookmarkStart w:id="1346" w:name="_Toc159566054"/>
    </w:p>
    <w:p w:rsidR="00061EAA" w:rsidRDefault="00061EAA" w:rsidP="00ED04E8">
      <w:pPr>
        <w:pStyle w:val="Bezodstpw"/>
        <w:spacing w:line="240" w:lineRule="auto"/>
        <w:rPr>
          <w:rFonts w:ascii="Times New Roman" w:hAnsi="Times New Roman" w:cs="Times New Roman"/>
          <w:sz w:val="20"/>
          <w:szCs w:val="20"/>
          <w:lang w:eastAsia="pl-PL"/>
        </w:rPr>
      </w:pPr>
    </w:p>
    <w:p w:rsidR="00A913F5" w:rsidRPr="007078D3" w:rsidRDefault="00A913F5" w:rsidP="00ED04E8">
      <w:pPr>
        <w:pStyle w:val="Bezodstpw"/>
        <w:spacing w:line="240" w:lineRule="auto"/>
        <w:rPr>
          <w:rFonts w:ascii="Times New Roman" w:hAnsi="Times New Roman" w:cs="Times New Roman"/>
          <w:sz w:val="20"/>
          <w:szCs w:val="20"/>
          <w:lang w:eastAsia="pl-PL"/>
        </w:rPr>
      </w:pPr>
      <w:bookmarkStart w:id="1347" w:name="_Toc221170396"/>
      <w:r w:rsidRPr="007078D3">
        <w:rPr>
          <w:rFonts w:ascii="Times New Roman" w:hAnsi="Times New Roman" w:cs="Times New Roman"/>
          <w:sz w:val="20"/>
          <w:szCs w:val="20"/>
          <w:lang w:eastAsia="pl-PL"/>
        </w:rPr>
        <w:t>D-08.03.01 BETONOWE  OBRZEŻA  CHODNIKOWE</w:t>
      </w:r>
      <w:bookmarkEnd w:id="1345"/>
      <w:bookmarkEnd w:id="1346"/>
      <w:bookmarkEnd w:id="1347"/>
    </w:p>
    <w:p w:rsidR="009F0E46" w:rsidRPr="007078D3" w:rsidRDefault="009F0E46" w:rsidP="00ED04E8">
      <w:pPr>
        <w:rPr>
          <w:rFonts w:ascii="Times New Roman" w:hAnsi="Times New Roman" w:cs="Times New Roman"/>
          <w:szCs w:val="20"/>
        </w:rPr>
      </w:pPr>
      <w:bookmarkStart w:id="1348" w:name="_Toc426531382"/>
      <w:bookmarkStart w:id="1349" w:name="_Toc507896377"/>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 WSTĘP</w:t>
      </w:r>
      <w:bookmarkEnd w:id="1348"/>
      <w:bookmarkEnd w:id="1349"/>
    </w:p>
    <w:p w:rsidR="006D540A" w:rsidRPr="007078D3" w:rsidRDefault="006D540A"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1.1. Przedmiot </w:t>
      </w:r>
      <w:r w:rsidR="00855643" w:rsidRPr="007078D3">
        <w:rPr>
          <w:rFonts w:ascii="Times New Roman" w:hAnsi="Times New Roman" w:cs="Times New Roman"/>
          <w:szCs w:val="20"/>
        </w:rPr>
        <w:t>SST</w:t>
      </w:r>
    </w:p>
    <w:p w:rsidR="006D540A" w:rsidRPr="007078D3" w:rsidRDefault="006D540A"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ab/>
      </w:r>
      <w:r w:rsidRPr="007078D3">
        <w:rPr>
          <w:rFonts w:ascii="Times New Roman" w:hAnsi="Times New Roman" w:cs="Times New Roman"/>
          <w:szCs w:val="20"/>
        </w:rPr>
        <w:t>Przedmiotem niniejszej ogólnej specyfikacji technicznej (</w:t>
      </w:r>
      <w:r w:rsidR="00855643" w:rsidRPr="007078D3">
        <w:rPr>
          <w:rFonts w:ascii="Times New Roman" w:hAnsi="Times New Roman" w:cs="Times New Roman"/>
          <w:szCs w:val="20"/>
        </w:rPr>
        <w:t>SST</w:t>
      </w:r>
      <w:r w:rsidRPr="007078D3">
        <w:rPr>
          <w:rFonts w:ascii="Times New Roman" w:hAnsi="Times New Roman" w:cs="Times New Roman"/>
          <w:szCs w:val="20"/>
        </w:rPr>
        <w:t>) są wymagania dotyczące wykonania i odbioru robót związanych z ustawieniem betonowego obrzeża chodnikowego.</w:t>
      </w:r>
    </w:p>
    <w:p w:rsidR="006D540A" w:rsidRPr="007078D3" w:rsidRDefault="006D540A"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1.2. Zakres stosowania </w:t>
      </w:r>
      <w:r w:rsidR="00855643" w:rsidRPr="007078D3">
        <w:rPr>
          <w:rFonts w:ascii="Times New Roman" w:hAnsi="Times New Roman" w:cs="Times New Roman"/>
          <w:szCs w:val="20"/>
        </w:rPr>
        <w:t>SST</w:t>
      </w:r>
    </w:p>
    <w:p w:rsidR="006D540A" w:rsidRPr="007078D3" w:rsidRDefault="006D540A" w:rsidP="00ED04E8">
      <w:pPr>
        <w:rPr>
          <w:rFonts w:ascii="Times New Roman" w:hAnsi="Times New Roman" w:cs="Times New Roman"/>
          <w:szCs w:val="20"/>
        </w:rPr>
      </w:pPr>
    </w:p>
    <w:p w:rsidR="006D540A" w:rsidRPr="007078D3" w:rsidRDefault="006D540A" w:rsidP="00ED04E8">
      <w:pPr>
        <w:rPr>
          <w:rFonts w:ascii="Times New Roman" w:hAnsi="Times New Roman" w:cs="Times New Roman"/>
          <w:szCs w:val="20"/>
        </w:rPr>
      </w:pPr>
      <w:r w:rsidRPr="007078D3">
        <w:rPr>
          <w:rFonts w:ascii="Times New Roman" w:hAnsi="Times New Roman" w:cs="Times New Roman"/>
          <w:szCs w:val="20"/>
        </w:rPr>
        <w:t>Szczegółowa specyfikacja techniczna dotyczy robót wyszczególnionych w punkcie 1.3.</w:t>
      </w:r>
    </w:p>
    <w:p w:rsidR="006D540A" w:rsidRPr="007078D3" w:rsidRDefault="006D540A"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1.3. Zakres robót objętych </w:t>
      </w:r>
      <w:r w:rsidR="00855643" w:rsidRPr="007078D3">
        <w:rPr>
          <w:rFonts w:ascii="Times New Roman" w:hAnsi="Times New Roman" w:cs="Times New Roman"/>
          <w:szCs w:val="20"/>
        </w:rPr>
        <w:t>SST</w:t>
      </w:r>
    </w:p>
    <w:p w:rsidR="006D540A" w:rsidRPr="007078D3" w:rsidRDefault="006D540A"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ab/>
      </w:r>
      <w:r w:rsidRPr="007078D3">
        <w:rPr>
          <w:rFonts w:ascii="Times New Roman" w:hAnsi="Times New Roman" w:cs="Times New Roman"/>
          <w:szCs w:val="20"/>
        </w:rPr>
        <w:t>Ustalenia zawarte w niniejszej specyfikacji dotyczą zasad prowadzenia robót związanych z ustawieniem betonowego obrzeża chodnikowego.</w:t>
      </w:r>
    </w:p>
    <w:p w:rsidR="006D540A" w:rsidRPr="007078D3" w:rsidRDefault="006D540A" w:rsidP="00ED04E8">
      <w:pPr>
        <w:rPr>
          <w:rFonts w:ascii="Times New Roman" w:hAnsi="Times New Roman" w:cs="Times New Roman"/>
          <w:i/>
          <w:szCs w:val="20"/>
        </w:rPr>
      </w:pPr>
      <w:r w:rsidRPr="007078D3">
        <w:rPr>
          <w:rFonts w:ascii="Times New Roman" w:hAnsi="Times New Roman" w:cs="Times New Roman"/>
          <w:szCs w:val="20"/>
        </w:rPr>
        <w:tab/>
      </w:r>
      <w:r w:rsidRPr="007078D3">
        <w:rPr>
          <w:rFonts w:ascii="Times New Roman" w:hAnsi="Times New Roman" w:cs="Times New Roman"/>
          <w:i/>
          <w:szCs w:val="20"/>
        </w:rPr>
        <w:t xml:space="preserve">Obrzeże betonowe </w:t>
      </w:r>
      <w:r w:rsidR="00955388" w:rsidRPr="007078D3">
        <w:rPr>
          <w:rFonts w:ascii="Times New Roman" w:hAnsi="Times New Roman" w:cs="Times New Roman"/>
          <w:i/>
          <w:szCs w:val="20"/>
        </w:rPr>
        <w:t>o wymiarach 6x20 cm należy zastosować jako obramowanie chodników od strony zieleńca.</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1.4. Określenia podstawowe</w:t>
      </w:r>
    </w:p>
    <w:p w:rsidR="006D540A" w:rsidRPr="007078D3" w:rsidRDefault="006D540A"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xml:space="preserve">1.4.1. </w:t>
      </w:r>
      <w:r w:rsidRPr="007078D3">
        <w:rPr>
          <w:rFonts w:ascii="Times New Roman" w:hAnsi="Times New Roman" w:cs="Times New Roman"/>
          <w:szCs w:val="20"/>
        </w:rPr>
        <w:t>Obrzeża chodnikowe - prefabrykowane belki betonowe rozgraniczające jednostronnie lub dwustronnie ciągi komunikacyjne od terenów nie przeznaczonych do komunikacji.</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xml:space="preserve">1.4.2. </w:t>
      </w:r>
      <w:r w:rsidRPr="007078D3">
        <w:rPr>
          <w:rFonts w:ascii="Times New Roman" w:hAnsi="Times New Roman" w:cs="Times New Roman"/>
          <w:szCs w:val="20"/>
        </w:rPr>
        <w:t xml:space="preserve">Pozostałe określenia podstawowe są zgodne z obowiązującymi, odpowiednimi polskimi normami  i definicjami podanymi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D-00.00.00 „Wymagania ogólne” pkt 1.4.</w:t>
      </w:r>
    </w:p>
    <w:p w:rsidR="006D540A" w:rsidRPr="007078D3" w:rsidRDefault="006D540A"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1.5. Ogólne wymagania dotyczące robót</w:t>
      </w:r>
    </w:p>
    <w:p w:rsidR="006D540A" w:rsidRPr="007078D3" w:rsidRDefault="006D540A"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Ogólne wymagania dotyczące robót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D-00.00.00 „Wymagania ogólne” pkt 1.5.</w:t>
      </w:r>
    </w:p>
    <w:p w:rsidR="006D540A" w:rsidRPr="007078D3" w:rsidRDefault="006D540A"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bookmarkStart w:id="1350" w:name="_Toc425567015"/>
      <w:bookmarkStart w:id="1351" w:name="_Toc426531383"/>
      <w:bookmarkStart w:id="1352" w:name="_Toc507896378"/>
      <w:r w:rsidRPr="007078D3">
        <w:rPr>
          <w:rFonts w:ascii="Times New Roman" w:hAnsi="Times New Roman" w:cs="Times New Roman"/>
          <w:szCs w:val="20"/>
        </w:rPr>
        <w:t>2. MATERIAŁY</w:t>
      </w:r>
      <w:bookmarkEnd w:id="1350"/>
      <w:bookmarkEnd w:id="1351"/>
      <w:bookmarkEnd w:id="1352"/>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2.1. Ogólne wymagania dotyczące materiałów</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Ogólne wymagania dotyczące materiałów, ich pozyskiwania i składowania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D-00.00.00 „Wymagania ogólne” pkt 2.</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2.2. Stosowane materiały</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Materiałami stosowanymi są:</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obrzeża odpowiadające wymaganiom BN-80/6775-04/04 [9] i BN-80/6775-03/01 [8],</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piasek do wykonania ław,</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cement wg PN-B-19701 [7],</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piasek do zapraw wg PN-B-06711 [3].</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2.3. Betonowe obrzeża chodnikowe </w:t>
      </w:r>
      <w:r w:rsidR="00955388" w:rsidRPr="007078D3">
        <w:rPr>
          <w:rFonts w:ascii="Times New Roman" w:hAnsi="Times New Roman" w:cs="Times New Roman"/>
          <w:szCs w:val="20"/>
        </w:rPr>
        <w:t>–</w:t>
      </w:r>
      <w:r w:rsidRPr="007078D3">
        <w:rPr>
          <w:rFonts w:ascii="Times New Roman" w:hAnsi="Times New Roman" w:cs="Times New Roman"/>
          <w:szCs w:val="20"/>
        </w:rPr>
        <w:t xml:space="preserve"> klasyfikacja</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W zależności od przekroju poprzecznego rozróżnia się dwa rodzaje obrzeży:</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obrzeże niskie</w:t>
      </w:r>
      <w:r w:rsidRPr="007078D3">
        <w:rPr>
          <w:rFonts w:ascii="Times New Roman" w:hAnsi="Times New Roman" w:cs="Times New Roman"/>
          <w:szCs w:val="20"/>
        </w:rPr>
        <w:tab/>
        <w:t>- On.</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W zależności od dopuszczalnych wielkości i liczby uszkodzeń oraz odchyłek wymiarowych obrzeża dzieli się na: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      gatunek 1 </w:t>
      </w:r>
      <w:r w:rsidRPr="007078D3">
        <w:rPr>
          <w:rFonts w:ascii="Times New Roman" w:hAnsi="Times New Roman" w:cs="Times New Roman"/>
          <w:szCs w:val="20"/>
        </w:rPr>
        <w:tab/>
        <w:t>- G1,</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gatunek 2</w:t>
      </w:r>
      <w:r w:rsidRPr="007078D3">
        <w:rPr>
          <w:rFonts w:ascii="Times New Roman" w:hAnsi="Times New Roman" w:cs="Times New Roman"/>
          <w:szCs w:val="20"/>
        </w:rPr>
        <w:tab/>
        <w:t>- G2.</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Przykład oznaczenia betonowego obrzeża chodnikowego niskiego (On) o wymiarach 6 x 20 x 75 cm gat. 1:</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obrzeże On - I/6/20/75 BN-80/6775-03/04 [9].</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2.4. Betonowe obrzeża chodnikowe - wymagania techniczne</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xml:space="preserve">2.4.1. </w:t>
      </w:r>
      <w:r w:rsidRPr="007078D3">
        <w:rPr>
          <w:rFonts w:ascii="Times New Roman" w:hAnsi="Times New Roman" w:cs="Times New Roman"/>
          <w:szCs w:val="20"/>
        </w:rPr>
        <w:t>Wymiary betonowych obrzeży chodnikowych</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Kształt obrzeży betonowych przedstawiono na rysunku 1, a wymiary podano w tablicy 1.</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noProof/>
          <w:szCs w:val="20"/>
          <w:lang w:eastAsia="pl-PL"/>
        </w:rPr>
        <w:lastRenderedPageBreak/>
        <w:drawing>
          <wp:inline distT="0" distB="0" distL="0" distR="0">
            <wp:extent cx="1724025" cy="791930"/>
            <wp:effectExtent l="0" t="0" r="0" b="8255"/>
            <wp:docPr id="38" name="Obraz 38" descr="C:\Users\p.sokal\Desktop\Pomoce\OST_2.27\ost\Elementy_ulic\d080301_pliki\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p.sokal\Desktop\Pomoce\OST_2.27\ost\Elementy_ulic\d080301_pliki\image002.jpg"/>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29568" cy="794476"/>
                    </a:xfrm>
                    <a:prstGeom prst="rect">
                      <a:avLst/>
                    </a:prstGeom>
                    <a:noFill/>
                    <a:ln>
                      <a:noFill/>
                    </a:ln>
                  </pic:spPr>
                </pic:pic>
              </a:graphicData>
            </a:graphic>
          </wp:inline>
        </w:drawing>
      </w:r>
      <w:r w:rsidRPr="007078D3">
        <w:rPr>
          <w:rFonts w:ascii="Times New Roman" w:hAnsi="Times New Roman" w:cs="Times New Roman"/>
          <w:szCs w:val="20"/>
        </w:rPr>
        <w:t>Rysunek 1. Kształt betonowego obrzeża chodnikowego</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Tablica 1. Wymiary obrzeży</w:t>
      </w:r>
    </w:p>
    <w:tbl>
      <w:tblPr>
        <w:tblW w:w="0" w:type="auto"/>
        <w:tblCellMar>
          <w:left w:w="70" w:type="dxa"/>
          <w:right w:w="70" w:type="dxa"/>
        </w:tblCellMar>
        <w:tblLook w:val="04A0"/>
      </w:tblPr>
      <w:tblGrid>
        <w:gridCol w:w="1346"/>
        <w:gridCol w:w="1232"/>
        <w:gridCol w:w="1232"/>
        <w:gridCol w:w="1232"/>
        <w:gridCol w:w="1265"/>
      </w:tblGrid>
      <w:tr w:rsidR="00A913F5" w:rsidRPr="007078D3" w:rsidTr="00A913F5">
        <w:tc>
          <w:tcPr>
            <w:tcW w:w="1346" w:type="dxa"/>
            <w:tcBorders>
              <w:top w:val="single" w:sz="6" w:space="0" w:color="auto"/>
              <w:left w:val="single" w:sz="6" w:space="0" w:color="auto"/>
              <w:bottom w:val="nil"/>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Rodzaj</w:t>
            </w:r>
          </w:p>
        </w:tc>
        <w:tc>
          <w:tcPr>
            <w:tcW w:w="4961" w:type="dxa"/>
            <w:gridSpan w:val="4"/>
            <w:tcBorders>
              <w:top w:val="single" w:sz="6" w:space="0" w:color="auto"/>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Wymiary obrzeży,   cm</w:t>
            </w:r>
          </w:p>
        </w:tc>
      </w:tr>
      <w:tr w:rsidR="00A913F5" w:rsidRPr="007078D3" w:rsidTr="00A913F5">
        <w:tc>
          <w:tcPr>
            <w:tcW w:w="1346" w:type="dxa"/>
            <w:tcBorders>
              <w:top w:val="nil"/>
              <w:left w:val="single" w:sz="6" w:space="0" w:color="auto"/>
              <w:bottom w:val="double" w:sz="6" w:space="0" w:color="auto"/>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obrzeża</w:t>
            </w:r>
          </w:p>
        </w:tc>
        <w:tc>
          <w:tcPr>
            <w:tcW w:w="1232" w:type="dxa"/>
            <w:tcBorders>
              <w:top w:val="single" w:sz="6" w:space="0" w:color="auto"/>
              <w:left w:val="single" w:sz="6" w:space="0" w:color="auto"/>
              <w:bottom w:val="doub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w:t>
            </w:r>
          </w:p>
        </w:tc>
        <w:tc>
          <w:tcPr>
            <w:tcW w:w="1232" w:type="dxa"/>
            <w:tcBorders>
              <w:top w:val="single" w:sz="6" w:space="0" w:color="auto"/>
              <w:left w:val="single" w:sz="6" w:space="0" w:color="auto"/>
              <w:bottom w:val="doub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b</w:t>
            </w:r>
          </w:p>
        </w:tc>
        <w:tc>
          <w:tcPr>
            <w:tcW w:w="1232" w:type="dxa"/>
            <w:tcBorders>
              <w:top w:val="single" w:sz="6" w:space="0" w:color="auto"/>
              <w:left w:val="single" w:sz="6" w:space="0" w:color="auto"/>
              <w:bottom w:val="doub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h</w:t>
            </w:r>
          </w:p>
        </w:tc>
        <w:tc>
          <w:tcPr>
            <w:tcW w:w="1265" w:type="dxa"/>
            <w:tcBorders>
              <w:top w:val="single" w:sz="6" w:space="0" w:color="auto"/>
              <w:left w:val="single" w:sz="6" w:space="0" w:color="auto"/>
              <w:bottom w:val="doub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r</w:t>
            </w:r>
          </w:p>
        </w:tc>
      </w:tr>
      <w:tr w:rsidR="00A913F5" w:rsidRPr="007078D3" w:rsidTr="00A913F5">
        <w:tc>
          <w:tcPr>
            <w:tcW w:w="1346" w:type="dxa"/>
            <w:tcBorders>
              <w:top w:val="nil"/>
              <w:left w:val="single" w:sz="6" w:space="0" w:color="auto"/>
              <w:bottom w:val="single" w:sz="6" w:space="0" w:color="auto"/>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On</w:t>
            </w:r>
          </w:p>
        </w:tc>
        <w:tc>
          <w:tcPr>
            <w:tcW w:w="1232"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75</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100</w:t>
            </w:r>
          </w:p>
        </w:tc>
        <w:tc>
          <w:tcPr>
            <w:tcW w:w="1232"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6</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6</w:t>
            </w:r>
          </w:p>
        </w:tc>
        <w:tc>
          <w:tcPr>
            <w:tcW w:w="1232"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20</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20</w:t>
            </w:r>
          </w:p>
        </w:tc>
        <w:tc>
          <w:tcPr>
            <w:tcW w:w="1265"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3</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lang w:val="en-US"/>
              </w:rPr>
              <w:t>3</w:t>
            </w:r>
          </w:p>
        </w:tc>
      </w:tr>
    </w:tbl>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xml:space="preserve">2.4.2. </w:t>
      </w:r>
      <w:r w:rsidRPr="007078D3">
        <w:rPr>
          <w:rFonts w:ascii="Times New Roman" w:hAnsi="Times New Roman" w:cs="Times New Roman"/>
          <w:szCs w:val="20"/>
        </w:rPr>
        <w:t>Dopuszczalne odchyłki wymiarów obrzeży</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Dopuszczalne odchyłki wymiarów obrzeży podano w tablicy 2.</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Tablica 2. Dopuszczalne odchyłki wymiarów obrzeży</w:t>
      </w:r>
    </w:p>
    <w:tbl>
      <w:tblPr>
        <w:tblW w:w="0" w:type="auto"/>
        <w:tblCellMar>
          <w:left w:w="70" w:type="dxa"/>
          <w:right w:w="70" w:type="dxa"/>
        </w:tblCellMar>
        <w:tblLook w:val="04A0"/>
      </w:tblPr>
      <w:tblGrid>
        <w:gridCol w:w="2338"/>
        <w:gridCol w:w="2586"/>
        <w:gridCol w:w="2586"/>
      </w:tblGrid>
      <w:tr w:rsidR="00A913F5" w:rsidRPr="007078D3" w:rsidTr="00A913F5">
        <w:tc>
          <w:tcPr>
            <w:tcW w:w="2338" w:type="dxa"/>
            <w:tcBorders>
              <w:top w:val="single" w:sz="6" w:space="0" w:color="auto"/>
              <w:left w:val="single" w:sz="6" w:space="0" w:color="auto"/>
              <w:bottom w:val="nil"/>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Rodzaj</w:t>
            </w:r>
          </w:p>
        </w:tc>
        <w:tc>
          <w:tcPr>
            <w:tcW w:w="5172" w:type="dxa"/>
            <w:gridSpan w:val="2"/>
            <w:tcBorders>
              <w:top w:val="single" w:sz="6" w:space="0" w:color="auto"/>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Dopuszczalna odchyłka,   m</w:t>
            </w:r>
          </w:p>
        </w:tc>
      </w:tr>
      <w:tr w:rsidR="00A913F5" w:rsidRPr="007078D3" w:rsidTr="00A913F5">
        <w:tc>
          <w:tcPr>
            <w:tcW w:w="2338" w:type="dxa"/>
            <w:tcBorders>
              <w:top w:val="nil"/>
              <w:left w:val="single" w:sz="6" w:space="0" w:color="auto"/>
              <w:bottom w:val="double" w:sz="6" w:space="0" w:color="auto"/>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wymiaru</w:t>
            </w:r>
          </w:p>
        </w:tc>
        <w:tc>
          <w:tcPr>
            <w:tcW w:w="2586" w:type="dxa"/>
            <w:tcBorders>
              <w:top w:val="single" w:sz="6" w:space="0" w:color="auto"/>
              <w:left w:val="single" w:sz="6" w:space="0" w:color="auto"/>
              <w:bottom w:val="doub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Gatunek 1</w:t>
            </w:r>
          </w:p>
        </w:tc>
        <w:tc>
          <w:tcPr>
            <w:tcW w:w="2586" w:type="dxa"/>
            <w:tcBorders>
              <w:top w:val="single" w:sz="6" w:space="0" w:color="auto"/>
              <w:left w:val="single" w:sz="6" w:space="0" w:color="auto"/>
              <w:bottom w:val="doub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Gatunek 2</w:t>
            </w:r>
          </w:p>
        </w:tc>
      </w:tr>
      <w:tr w:rsidR="00A913F5" w:rsidRPr="007078D3" w:rsidTr="00A913F5">
        <w:tc>
          <w:tcPr>
            <w:tcW w:w="2338" w:type="dxa"/>
            <w:tcBorders>
              <w:top w:val="nil"/>
              <w:left w:val="single" w:sz="6" w:space="0" w:color="auto"/>
              <w:bottom w:val="single" w:sz="6" w:space="0" w:color="auto"/>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l</w:t>
            </w:r>
          </w:p>
        </w:tc>
        <w:tc>
          <w:tcPr>
            <w:tcW w:w="2586"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sym w:font="Symbol" w:char="F0B1"/>
            </w:r>
            <w:r w:rsidRPr="007078D3">
              <w:rPr>
                <w:rFonts w:ascii="Times New Roman" w:hAnsi="Times New Roman" w:cs="Times New Roman"/>
                <w:szCs w:val="20"/>
              </w:rPr>
              <w:t xml:space="preserve"> 8</w:t>
            </w:r>
          </w:p>
        </w:tc>
        <w:tc>
          <w:tcPr>
            <w:tcW w:w="2586"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sym w:font="Symbol" w:char="F0B1"/>
            </w:r>
            <w:r w:rsidRPr="007078D3">
              <w:rPr>
                <w:rFonts w:ascii="Times New Roman" w:hAnsi="Times New Roman" w:cs="Times New Roman"/>
                <w:szCs w:val="20"/>
              </w:rPr>
              <w:t xml:space="preserve"> 12</w:t>
            </w:r>
          </w:p>
        </w:tc>
      </w:tr>
      <w:tr w:rsidR="00A913F5" w:rsidRPr="007078D3" w:rsidTr="00A913F5">
        <w:tc>
          <w:tcPr>
            <w:tcW w:w="2338" w:type="dxa"/>
            <w:tcBorders>
              <w:top w:val="single" w:sz="6" w:space="0" w:color="auto"/>
              <w:left w:val="single" w:sz="6" w:space="0" w:color="auto"/>
              <w:bottom w:val="single" w:sz="6" w:space="0" w:color="auto"/>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b,   h</w:t>
            </w:r>
          </w:p>
        </w:tc>
        <w:tc>
          <w:tcPr>
            <w:tcW w:w="2586" w:type="dxa"/>
            <w:tcBorders>
              <w:top w:val="single" w:sz="6" w:space="0" w:color="auto"/>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sym w:font="Symbol" w:char="F0B1"/>
            </w:r>
            <w:r w:rsidRPr="007078D3">
              <w:rPr>
                <w:rFonts w:ascii="Times New Roman" w:hAnsi="Times New Roman" w:cs="Times New Roman"/>
                <w:szCs w:val="20"/>
              </w:rPr>
              <w:t xml:space="preserve"> 3</w:t>
            </w:r>
          </w:p>
        </w:tc>
        <w:tc>
          <w:tcPr>
            <w:tcW w:w="2586" w:type="dxa"/>
            <w:tcBorders>
              <w:top w:val="single" w:sz="6" w:space="0" w:color="auto"/>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sym w:font="Symbol" w:char="F0B1"/>
            </w:r>
            <w:r w:rsidRPr="007078D3">
              <w:rPr>
                <w:rFonts w:ascii="Times New Roman" w:hAnsi="Times New Roman" w:cs="Times New Roman"/>
                <w:szCs w:val="20"/>
              </w:rPr>
              <w:t xml:space="preserve"> 3</w:t>
            </w:r>
          </w:p>
        </w:tc>
      </w:tr>
    </w:tbl>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xml:space="preserve">2.4.3. </w:t>
      </w:r>
      <w:r w:rsidRPr="007078D3">
        <w:rPr>
          <w:rFonts w:ascii="Times New Roman" w:hAnsi="Times New Roman" w:cs="Times New Roman"/>
          <w:szCs w:val="20"/>
        </w:rPr>
        <w:t>Dopuszczalne wady i uszkodzenia obrzeży</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Powierzchnie obrzeży powinny być bez rys, pęknięć i ubytków betonu, o fakturze z formy lub zatartej. Krawędzie elementów powinny być równe i proste.</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Dopuszczalne wady oraz uszkodzenia powierzchni i krawędzi elementów nie powinny przekraczać wartości podanych w tablicy 3.</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Tablica 3. Dopuszczalne wady i uszkodzenia obrzeży</w:t>
      </w:r>
    </w:p>
    <w:tbl>
      <w:tblPr>
        <w:tblW w:w="0" w:type="auto"/>
        <w:tblCellMar>
          <w:left w:w="70" w:type="dxa"/>
          <w:right w:w="70" w:type="dxa"/>
        </w:tblCellMar>
        <w:tblLook w:val="04A0"/>
      </w:tblPr>
      <w:tblGrid>
        <w:gridCol w:w="1530"/>
        <w:gridCol w:w="3502"/>
        <w:gridCol w:w="1239"/>
        <w:gridCol w:w="1239"/>
      </w:tblGrid>
      <w:tr w:rsidR="00A913F5" w:rsidRPr="007078D3" w:rsidTr="00A913F5">
        <w:tc>
          <w:tcPr>
            <w:tcW w:w="5032" w:type="dxa"/>
            <w:gridSpan w:val="2"/>
            <w:tcBorders>
              <w:top w:val="single" w:sz="6" w:space="0" w:color="auto"/>
              <w:left w:val="single" w:sz="6" w:space="0" w:color="auto"/>
              <w:bottom w:val="nil"/>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Rodzaj wad i uszkodzeń</w:t>
            </w:r>
          </w:p>
        </w:tc>
        <w:tc>
          <w:tcPr>
            <w:tcW w:w="2478" w:type="dxa"/>
            <w:gridSpan w:val="2"/>
            <w:tcBorders>
              <w:top w:val="single" w:sz="6" w:space="0" w:color="auto"/>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Dopuszczalna wielkość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wad i uszkodzeń</w:t>
            </w:r>
          </w:p>
        </w:tc>
      </w:tr>
      <w:tr w:rsidR="00A913F5" w:rsidRPr="007078D3" w:rsidTr="00A913F5">
        <w:tc>
          <w:tcPr>
            <w:tcW w:w="5032" w:type="dxa"/>
            <w:gridSpan w:val="2"/>
            <w:tcBorders>
              <w:top w:val="nil"/>
              <w:left w:val="single" w:sz="6" w:space="0" w:color="auto"/>
              <w:bottom w:val="double" w:sz="6" w:space="0" w:color="auto"/>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tc>
        <w:tc>
          <w:tcPr>
            <w:tcW w:w="1239" w:type="dxa"/>
            <w:tcBorders>
              <w:top w:val="single" w:sz="6" w:space="0" w:color="auto"/>
              <w:left w:val="single" w:sz="6" w:space="0" w:color="auto"/>
              <w:bottom w:val="doub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Gatunek 1</w:t>
            </w:r>
          </w:p>
        </w:tc>
        <w:tc>
          <w:tcPr>
            <w:tcW w:w="1239" w:type="dxa"/>
            <w:tcBorders>
              <w:top w:val="single" w:sz="6" w:space="0" w:color="auto"/>
              <w:left w:val="single" w:sz="6" w:space="0" w:color="auto"/>
              <w:bottom w:val="doub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Gatunek 2</w:t>
            </w:r>
          </w:p>
        </w:tc>
      </w:tr>
      <w:tr w:rsidR="00A913F5" w:rsidRPr="007078D3" w:rsidTr="00A913F5">
        <w:tc>
          <w:tcPr>
            <w:tcW w:w="5032" w:type="dxa"/>
            <w:gridSpan w:val="2"/>
            <w:tcBorders>
              <w:top w:val="nil"/>
              <w:left w:val="single" w:sz="6" w:space="0" w:color="auto"/>
              <w:bottom w:val="nil"/>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Wklęsłość lub wypukłość powierzchni i krawędzi w mm</w:t>
            </w:r>
          </w:p>
        </w:tc>
        <w:tc>
          <w:tcPr>
            <w:tcW w:w="1239"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w:t>
            </w:r>
          </w:p>
        </w:tc>
        <w:tc>
          <w:tcPr>
            <w:tcW w:w="1239"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3</w:t>
            </w:r>
          </w:p>
        </w:tc>
      </w:tr>
      <w:tr w:rsidR="00A913F5" w:rsidRPr="007078D3" w:rsidTr="00955388">
        <w:tc>
          <w:tcPr>
            <w:tcW w:w="1530" w:type="dxa"/>
            <w:tcBorders>
              <w:top w:val="single" w:sz="6" w:space="0" w:color="auto"/>
              <w:left w:val="single" w:sz="6" w:space="0" w:color="auto"/>
              <w:bottom w:val="nil"/>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Szczerby</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i uszkodzenia</w:t>
            </w:r>
          </w:p>
        </w:tc>
        <w:tc>
          <w:tcPr>
            <w:tcW w:w="3502" w:type="dxa"/>
            <w:tcBorders>
              <w:top w:val="single" w:sz="6" w:space="0" w:color="auto"/>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ograniczających powierzchnie górne (ścieralne)</w:t>
            </w:r>
          </w:p>
        </w:tc>
        <w:tc>
          <w:tcPr>
            <w:tcW w:w="2478" w:type="dxa"/>
            <w:gridSpan w:val="2"/>
            <w:tcBorders>
              <w:top w:val="single" w:sz="6" w:space="0" w:color="auto"/>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niedopuszczalne</w:t>
            </w:r>
          </w:p>
        </w:tc>
      </w:tr>
      <w:tr w:rsidR="00A913F5" w:rsidRPr="007078D3" w:rsidTr="00955388">
        <w:tc>
          <w:tcPr>
            <w:tcW w:w="1530" w:type="dxa"/>
            <w:tcBorders>
              <w:top w:val="nil"/>
              <w:left w:val="single" w:sz="6" w:space="0" w:color="auto"/>
              <w:bottom w:val="nil"/>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krawędzi i naroży</w:t>
            </w:r>
          </w:p>
        </w:tc>
        <w:tc>
          <w:tcPr>
            <w:tcW w:w="3502" w:type="dxa"/>
            <w:tcBorders>
              <w:top w:val="single" w:sz="6" w:space="0" w:color="auto"/>
              <w:left w:val="single" w:sz="6" w:space="0" w:color="auto"/>
              <w:bottom w:val="nil"/>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ograniczających   pozostałe powierzchnie:</w:t>
            </w:r>
          </w:p>
        </w:tc>
        <w:tc>
          <w:tcPr>
            <w:tcW w:w="1239" w:type="dxa"/>
            <w:tcBorders>
              <w:top w:val="single" w:sz="6" w:space="0" w:color="auto"/>
              <w:left w:val="single" w:sz="6" w:space="0" w:color="auto"/>
              <w:bottom w:val="nil"/>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tc>
        <w:tc>
          <w:tcPr>
            <w:tcW w:w="1239" w:type="dxa"/>
            <w:tcBorders>
              <w:top w:val="single" w:sz="6" w:space="0" w:color="auto"/>
              <w:left w:val="nil"/>
              <w:bottom w:val="nil"/>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tc>
      </w:tr>
      <w:tr w:rsidR="00A913F5" w:rsidRPr="007078D3" w:rsidTr="00955388">
        <w:tc>
          <w:tcPr>
            <w:tcW w:w="1530" w:type="dxa"/>
            <w:tcBorders>
              <w:top w:val="nil"/>
              <w:left w:val="single" w:sz="6" w:space="0" w:color="auto"/>
              <w:bottom w:val="nil"/>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tc>
        <w:tc>
          <w:tcPr>
            <w:tcW w:w="3502" w:type="dxa"/>
            <w:tcBorders>
              <w:top w:val="nil"/>
              <w:left w:val="single" w:sz="6" w:space="0" w:color="auto"/>
              <w:bottom w:val="nil"/>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liczba, max</w:t>
            </w:r>
          </w:p>
        </w:tc>
        <w:tc>
          <w:tcPr>
            <w:tcW w:w="1239" w:type="dxa"/>
            <w:tcBorders>
              <w:top w:val="nil"/>
              <w:left w:val="single" w:sz="6" w:space="0" w:color="auto"/>
              <w:bottom w:val="nil"/>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w:t>
            </w:r>
          </w:p>
        </w:tc>
        <w:tc>
          <w:tcPr>
            <w:tcW w:w="1239" w:type="dxa"/>
            <w:tcBorders>
              <w:top w:val="nil"/>
              <w:left w:val="single" w:sz="6" w:space="0" w:color="auto"/>
              <w:bottom w:val="nil"/>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w:t>
            </w:r>
          </w:p>
        </w:tc>
      </w:tr>
      <w:tr w:rsidR="00A913F5" w:rsidRPr="007078D3" w:rsidTr="00955388">
        <w:tc>
          <w:tcPr>
            <w:tcW w:w="1530" w:type="dxa"/>
            <w:tcBorders>
              <w:top w:val="nil"/>
              <w:left w:val="single" w:sz="6" w:space="0" w:color="auto"/>
              <w:bottom w:val="nil"/>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tc>
        <w:tc>
          <w:tcPr>
            <w:tcW w:w="3502" w:type="dxa"/>
            <w:tcBorders>
              <w:top w:val="nil"/>
              <w:left w:val="single" w:sz="6" w:space="0" w:color="auto"/>
              <w:bottom w:val="nil"/>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długość, mm, max</w:t>
            </w:r>
          </w:p>
        </w:tc>
        <w:tc>
          <w:tcPr>
            <w:tcW w:w="1239" w:type="dxa"/>
            <w:tcBorders>
              <w:top w:val="nil"/>
              <w:left w:val="single" w:sz="6" w:space="0" w:color="auto"/>
              <w:bottom w:val="nil"/>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20</w:t>
            </w:r>
          </w:p>
        </w:tc>
        <w:tc>
          <w:tcPr>
            <w:tcW w:w="1239" w:type="dxa"/>
            <w:tcBorders>
              <w:top w:val="nil"/>
              <w:left w:val="single" w:sz="6" w:space="0" w:color="auto"/>
              <w:bottom w:val="nil"/>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40</w:t>
            </w:r>
          </w:p>
        </w:tc>
      </w:tr>
      <w:tr w:rsidR="00A913F5" w:rsidRPr="007078D3" w:rsidTr="00955388">
        <w:tc>
          <w:tcPr>
            <w:tcW w:w="1530" w:type="dxa"/>
            <w:tcBorders>
              <w:top w:val="nil"/>
              <w:left w:val="single" w:sz="6" w:space="0" w:color="auto"/>
              <w:bottom w:val="single" w:sz="6" w:space="0" w:color="auto"/>
              <w:right w:val="nil"/>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tc>
        <w:tc>
          <w:tcPr>
            <w:tcW w:w="3502"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głębokość, mm, max</w:t>
            </w:r>
          </w:p>
        </w:tc>
        <w:tc>
          <w:tcPr>
            <w:tcW w:w="1239"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6</w:t>
            </w:r>
          </w:p>
        </w:tc>
        <w:tc>
          <w:tcPr>
            <w:tcW w:w="1239" w:type="dxa"/>
            <w:tcBorders>
              <w:top w:val="nil"/>
              <w:left w:val="single" w:sz="6" w:space="0" w:color="auto"/>
              <w:bottom w:val="single" w:sz="6" w:space="0" w:color="auto"/>
              <w:right w:val="single" w:sz="6" w:space="0" w:color="auto"/>
            </w:tcBorders>
            <w:noWrap/>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10</w:t>
            </w:r>
          </w:p>
        </w:tc>
      </w:tr>
    </w:tbl>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xml:space="preserve">2.4.4. </w:t>
      </w:r>
      <w:r w:rsidRPr="007078D3">
        <w:rPr>
          <w:rFonts w:ascii="Times New Roman" w:hAnsi="Times New Roman" w:cs="Times New Roman"/>
          <w:szCs w:val="20"/>
        </w:rPr>
        <w:t>Składowanie</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Betonowe obrzeża chodnikowe mogą być przechowywane na składowiskach otwartych, posegregowane według rodzajów i gatunków.</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Betonowe obrzeża chodnikowe należy układać z zastosowaniem podkładek i przekładek drewnianych o wymiarach co najmniej: grubość 2,5 cm, szerokość 5 cm, długość minimum 5 cm większa niż szerokość obrzeża.</w:t>
      </w:r>
    </w:p>
    <w:p w:rsidR="00955388" w:rsidRPr="007078D3" w:rsidRDefault="00955388" w:rsidP="00ED04E8">
      <w:pPr>
        <w:rPr>
          <w:rFonts w:ascii="Times New Roman" w:hAnsi="Times New Roman" w:cs="Times New Roman"/>
          <w:b/>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 xml:space="preserve">2.4.5. </w:t>
      </w:r>
      <w:r w:rsidRPr="007078D3">
        <w:rPr>
          <w:rFonts w:ascii="Times New Roman" w:hAnsi="Times New Roman" w:cs="Times New Roman"/>
          <w:szCs w:val="20"/>
        </w:rPr>
        <w:t>Beton i jego składniki</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Do produkcji obrzeży należy stosować beton według PN-B-06250 [2], klasy B 25 i B 30.</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2.5. Materiały na ławę i do zaprawy</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Materiały do zaprawy cementowo-piaskowej powinny odpowiadać wymaganiom podanym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D-08.01.01 „Krawężniki betonowe” pkt 2.</w:t>
      </w:r>
    </w:p>
    <w:p w:rsidR="00955388" w:rsidRPr="007078D3" w:rsidRDefault="00955388" w:rsidP="00ED04E8">
      <w:pPr>
        <w:rPr>
          <w:rFonts w:ascii="Times New Roman" w:hAnsi="Times New Roman" w:cs="Times New Roman"/>
          <w:szCs w:val="20"/>
        </w:rPr>
      </w:pPr>
    </w:p>
    <w:p w:rsidR="00A913F5" w:rsidRPr="007078D3" w:rsidRDefault="00955388" w:rsidP="00ED04E8">
      <w:pPr>
        <w:rPr>
          <w:rFonts w:ascii="Times New Roman" w:hAnsi="Times New Roman" w:cs="Times New Roman"/>
          <w:szCs w:val="20"/>
        </w:rPr>
      </w:pPr>
      <w:bookmarkStart w:id="1353" w:name="_Toc426531384"/>
      <w:bookmarkStart w:id="1354" w:name="_Toc507896379"/>
      <w:r w:rsidRPr="007078D3">
        <w:rPr>
          <w:rFonts w:ascii="Times New Roman" w:hAnsi="Times New Roman" w:cs="Times New Roman"/>
          <w:szCs w:val="20"/>
        </w:rPr>
        <w:t>3. SPRZĘT</w:t>
      </w:r>
      <w:bookmarkEnd w:id="1353"/>
      <w:bookmarkEnd w:id="1354"/>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lastRenderedPageBreak/>
        <w:t>3.1. Ogólne wymagania dotyczące sprzętu</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Ogólne wymagania dotyczące sprzętu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D-00.00.00 „Wymagania ogólne” pkt 3.</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3.2. Sprzęt do ustawiania obrzeży</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Roboty wykonuje się ręcznie przy zastosowaniu drobnego sprzętu pomocniczego.</w:t>
      </w:r>
    </w:p>
    <w:p w:rsidR="00955388" w:rsidRPr="007078D3" w:rsidRDefault="00955388" w:rsidP="00ED04E8">
      <w:pPr>
        <w:rPr>
          <w:rFonts w:ascii="Times New Roman" w:hAnsi="Times New Roman" w:cs="Times New Roman"/>
          <w:szCs w:val="20"/>
        </w:rPr>
      </w:pPr>
    </w:p>
    <w:p w:rsidR="00A913F5" w:rsidRPr="007078D3" w:rsidRDefault="00955388" w:rsidP="00ED04E8">
      <w:pPr>
        <w:rPr>
          <w:rFonts w:ascii="Times New Roman" w:hAnsi="Times New Roman" w:cs="Times New Roman"/>
          <w:szCs w:val="20"/>
        </w:rPr>
      </w:pPr>
      <w:bookmarkStart w:id="1355" w:name="_Toc426531385"/>
      <w:bookmarkStart w:id="1356" w:name="_Toc507896380"/>
      <w:r w:rsidRPr="007078D3">
        <w:rPr>
          <w:rFonts w:ascii="Times New Roman" w:hAnsi="Times New Roman" w:cs="Times New Roman"/>
          <w:szCs w:val="20"/>
        </w:rPr>
        <w:t>4. TRANSPORT</w:t>
      </w:r>
      <w:bookmarkEnd w:id="1355"/>
      <w:bookmarkEnd w:id="1356"/>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4.1. Ogólne wymagania dotyczące transportu</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Ogólne wymagania dotyczące transportu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D-00.00.00 „Wymagania ogólne” pkt 4.</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4.2. Transport obrzeży betonowych</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Betonowe obrzeża chodnikowe mogą być przewożone dowolnymi środkami transportu po osiągnięciu przez beton wytrzymałości minimum 0,7 wytrzymałości projektowanej.</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Obrzeża powinny być zabezpieczone przed przemieszczeniem się i uszkodzeniami w czasie transportu.</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4.3. Transport pozostałych materiałów</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Transport pozostałych materiałów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D-08.01.01 „Krawężniki betonowe”.</w:t>
      </w:r>
    </w:p>
    <w:p w:rsidR="00955388" w:rsidRPr="007078D3" w:rsidRDefault="00955388" w:rsidP="00ED04E8">
      <w:pPr>
        <w:rPr>
          <w:rFonts w:ascii="Times New Roman" w:hAnsi="Times New Roman" w:cs="Times New Roman"/>
          <w:szCs w:val="20"/>
        </w:rPr>
      </w:pPr>
    </w:p>
    <w:p w:rsidR="00A913F5" w:rsidRPr="007078D3" w:rsidRDefault="00955388" w:rsidP="00ED04E8">
      <w:pPr>
        <w:rPr>
          <w:rFonts w:ascii="Times New Roman" w:hAnsi="Times New Roman" w:cs="Times New Roman"/>
          <w:szCs w:val="20"/>
        </w:rPr>
      </w:pPr>
      <w:bookmarkStart w:id="1357" w:name="_Toc426531386"/>
      <w:bookmarkStart w:id="1358" w:name="_Toc507896381"/>
      <w:r w:rsidRPr="007078D3">
        <w:rPr>
          <w:rFonts w:ascii="Times New Roman" w:hAnsi="Times New Roman" w:cs="Times New Roman"/>
          <w:szCs w:val="20"/>
        </w:rPr>
        <w:t>5. WYKONANIE ROBÓT</w:t>
      </w:r>
      <w:bookmarkEnd w:id="1357"/>
      <w:bookmarkEnd w:id="1358"/>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5.1. Ogólne zasady wykonania robót</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Ogólne zasady wykonania robót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D-M-00.00.00 „Wymagania ogólne” pkt 5.</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5.2. Wykonanie koryta</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Koryto pod podsypkę (ławę) należy wykonywać zgodnie z PN-B-06050 [1].</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Wymiary wykopu powinny odpowiadać wymiarom ławy w planie z uwzględnieniem w szerokości dna wykopu ew. konstrukcji szalunku.</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5.3. Podłoże lub podsypka (ława)</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Podłoże pod ustawienie obrzeża może stanowić rodzimy grunt piaszczysty lub podsypka (ława) ze żwiru lub piasku, o grubości warstwy od 3 do 5 cm po zagęszczeniu. Podsypkę (ławę) wykonuje się przez zasypanie koryta żwirem lub piaskiem i zagęszczenie z polewaniem wodą.</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5.4. Ustawienie betonowych obrzeży chodnikowych</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Betonowe obrzeża chodnikowe należy ustawiać na wykonanym podłożu w miejscu i ze światłem (odległością górnej powierzchni obrzeża od ciągu komunikacyjnego) zgodnym z ustaleniami dokumentacji projektowej.</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Zewnętrzna ściana obrzeża powinna być obsypana piaskiem, żwirem lub miejscowym gruntem przepuszczalnym, starannie ubitym.</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Spoiny nie powinny przekraczać szerokości 1 cm. Należy wypełnić je piaskiem lub zaprawą cementowo-piaskową w stosunku 1:2. Spoiny przed zalaniem należy oczyścić i zmyć wodą. Spoiny muszą być wypełnione całkowicie na pełną głębokość.</w:t>
      </w:r>
    </w:p>
    <w:p w:rsidR="00955388" w:rsidRPr="007078D3" w:rsidRDefault="00955388" w:rsidP="00ED04E8">
      <w:pPr>
        <w:rPr>
          <w:rFonts w:ascii="Times New Roman" w:hAnsi="Times New Roman" w:cs="Times New Roman"/>
          <w:szCs w:val="20"/>
        </w:rPr>
      </w:pPr>
    </w:p>
    <w:p w:rsidR="00A913F5" w:rsidRPr="007078D3" w:rsidRDefault="00955388" w:rsidP="00ED04E8">
      <w:pPr>
        <w:rPr>
          <w:rFonts w:ascii="Times New Roman" w:hAnsi="Times New Roman" w:cs="Times New Roman"/>
          <w:szCs w:val="20"/>
        </w:rPr>
      </w:pPr>
      <w:bookmarkStart w:id="1359" w:name="_Toc426531387"/>
      <w:bookmarkStart w:id="1360" w:name="_Toc507896382"/>
      <w:r w:rsidRPr="007078D3">
        <w:rPr>
          <w:rFonts w:ascii="Times New Roman" w:hAnsi="Times New Roman" w:cs="Times New Roman"/>
          <w:szCs w:val="20"/>
        </w:rPr>
        <w:t>6. KONTROLA JAKOŚCI ROBÓT</w:t>
      </w:r>
      <w:bookmarkEnd w:id="1359"/>
      <w:bookmarkEnd w:id="1360"/>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6.1. Ogólne zasady kontroli jakości robót</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Ogólne zasady kontroli jakości robót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D-00.00.00 „Wymagania ogólne” pkt 6.</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6.2. Badania przed przystąpieniem do robót</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Przed przystąpieniem do robót Wykonawca powinien wykonać badania materiałów przeznaczonych do ustawienia betonowych obrzeży chodnikowych i przedstawić wyniki tych badań Inżynierowi do akceptacji.</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Sprawdzenie wyglądu zewnętrznego należy przeprowadzić na podstawie oględzin elementu przez pomiar i policzenie uszkodzeń występujących na powierzchniach i krawędziach elementu, zgodnie z wymaganiami tablicy 3. Pomiary długości i </w:t>
      </w:r>
      <w:r w:rsidRPr="007078D3">
        <w:rPr>
          <w:rFonts w:ascii="Times New Roman" w:hAnsi="Times New Roman" w:cs="Times New Roman"/>
          <w:szCs w:val="20"/>
        </w:rPr>
        <w:lastRenderedPageBreak/>
        <w:t>głębokości uszkodzeń należy wykonać za pomocą przymiaru stalowego lub suwmiarki z dokładnością do 1 mm, zgodnie z ustaleniami PN-B-10021 [4].</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Sprawdzenie kształtu i wymiarów elementów należy przeprowadzić z dokładnością do 1 mm przy użyciu suwmiarki oraz przymiaru stalowego lub taśmy, zgodnie z wymaganiami tablicy 1 i 2. Sprawdzenie kątów prostych w narożach elementów wykonuje się przez przyłożenie kątownika do badanego naroża i zmierzenia odchyłek z dokładnością do 1 mm.</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Badania pozostałych materiałów powinny obejmować wszystkie właściwości określone w normach podanych dla odpowiednich materiałów wymienionych w pkt 2.</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6.3. Badania w czasie robót</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W czasie robót należy sprawdzać wykonanie:</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     koryta pod podsypkę (ławę) - zgodnie z wymaganiami pkt 5.2,</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b)    podłoża z rodzimego gruntu piaszczystego lub podsypki (ławy) ze żwiru lub piasku - zgodnie z wymaganiami pkt 5.3,</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c)     ustawienia betonowego obrzeża chodnikowego - zgodnie z wymaganiami pkt 5.4, przy dopuszczalnych odchyleniach:</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      linii obrzeża w planie, które może wynosić </w:t>
      </w:r>
      <w:r w:rsidRPr="007078D3">
        <w:rPr>
          <w:rFonts w:ascii="Times New Roman" w:hAnsi="Times New Roman" w:cs="Times New Roman"/>
          <w:szCs w:val="20"/>
        </w:rPr>
        <w:sym w:font="Symbol" w:char="F0B1"/>
      </w:r>
      <w:r w:rsidRPr="007078D3">
        <w:rPr>
          <w:rFonts w:ascii="Times New Roman" w:hAnsi="Times New Roman" w:cs="Times New Roman"/>
          <w:szCs w:val="20"/>
        </w:rPr>
        <w:t xml:space="preserve"> 2 cm na każde 100 m długości obrzeża,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xml:space="preserve">-      niwelety górnej płaszczyzny obrzeża , które może wynosić </w:t>
      </w:r>
      <w:r w:rsidRPr="007078D3">
        <w:rPr>
          <w:rFonts w:ascii="Times New Roman" w:hAnsi="Times New Roman" w:cs="Times New Roman"/>
          <w:szCs w:val="20"/>
        </w:rPr>
        <w:sym w:font="Symbol" w:char="F0B1"/>
      </w:r>
      <w:r w:rsidRPr="007078D3">
        <w:rPr>
          <w:rFonts w:ascii="Times New Roman" w:hAnsi="Times New Roman" w:cs="Times New Roman"/>
          <w:szCs w:val="20"/>
        </w:rPr>
        <w:t>1 cm na każde 100 m długości obrzeża,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wypełnienia spoin, sprawdzane co 10 metrów, które powinno wykazywać całkowite wypełnienie badanej spoiny na pełną głębokość.</w:t>
      </w:r>
    </w:p>
    <w:p w:rsidR="00955388" w:rsidRPr="007078D3" w:rsidRDefault="00955388" w:rsidP="00ED04E8">
      <w:pPr>
        <w:rPr>
          <w:rFonts w:ascii="Times New Roman" w:hAnsi="Times New Roman" w:cs="Times New Roman"/>
          <w:szCs w:val="20"/>
        </w:rPr>
      </w:pPr>
      <w:bookmarkStart w:id="1361" w:name="_Toc426531388"/>
      <w:bookmarkStart w:id="1362" w:name="_Toc507896383"/>
    </w:p>
    <w:p w:rsidR="00A913F5" w:rsidRPr="007078D3" w:rsidRDefault="00955388" w:rsidP="00ED04E8">
      <w:pPr>
        <w:rPr>
          <w:rFonts w:ascii="Times New Roman" w:hAnsi="Times New Roman" w:cs="Times New Roman"/>
          <w:szCs w:val="20"/>
        </w:rPr>
      </w:pPr>
      <w:r w:rsidRPr="007078D3">
        <w:rPr>
          <w:rFonts w:ascii="Times New Roman" w:hAnsi="Times New Roman" w:cs="Times New Roman"/>
          <w:szCs w:val="20"/>
        </w:rPr>
        <w:t>7. OBMIAR ROBÓT</w:t>
      </w:r>
      <w:bookmarkEnd w:id="1361"/>
      <w:bookmarkEnd w:id="1362"/>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7.1. Ogólne zasady obmiaru robót</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Ogólne zasady obmiaru robót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D-00.00.00 „Wymagania ogólne” pkt 7.</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7.2. Jednostka obmiarowa</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Jednostką obmiarową jest m (metr) ustawionego betonowego obrzeża chodnikowego.</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bookmarkStart w:id="1363" w:name="_Toc426435744"/>
      <w:bookmarkStart w:id="1364" w:name="_Toc426531389"/>
      <w:bookmarkStart w:id="1365" w:name="_Toc507896384"/>
      <w:r w:rsidRPr="007078D3">
        <w:rPr>
          <w:rFonts w:ascii="Times New Roman" w:hAnsi="Times New Roman" w:cs="Times New Roman"/>
          <w:szCs w:val="20"/>
        </w:rPr>
        <w:t>8. ODBIÓR ROBÓT</w:t>
      </w:r>
      <w:bookmarkEnd w:id="1363"/>
      <w:bookmarkEnd w:id="1364"/>
      <w:bookmarkEnd w:id="1365"/>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8.1. Ogólne zasady odbioru robót</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b/>
          <w:szCs w:val="20"/>
        </w:rPr>
        <w:tab/>
      </w:r>
      <w:r w:rsidRPr="007078D3">
        <w:rPr>
          <w:rFonts w:ascii="Times New Roman" w:hAnsi="Times New Roman" w:cs="Times New Roman"/>
          <w:szCs w:val="20"/>
        </w:rPr>
        <w:t xml:space="preserve">Ogólne zasady odbioru robót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D-00.00.00 „Wymagania ogólne” pkt 8.</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Roboty uznaje się za wykonane zgodnie z dokumentacją projektową, SST i wymaganiami </w:t>
      </w:r>
      <w:r w:rsidR="00D51F32" w:rsidRPr="007078D3">
        <w:rPr>
          <w:rFonts w:ascii="Times New Roman" w:hAnsi="Times New Roman" w:cs="Times New Roman"/>
          <w:szCs w:val="20"/>
        </w:rPr>
        <w:t>Inspektora</w:t>
      </w:r>
      <w:r w:rsidRPr="007078D3">
        <w:rPr>
          <w:rFonts w:ascii="Times New Roman" w:hAnsi="Times New Roman" w:cs="Times New Roman"/>
          <w:szCs w:val="20"/>
        </w:rPr>
        <w:t>, jeżeli wszystkie pomiary i badania z zachowaniem tolerancji wg pkt 6 dały wyniki pozytywne.</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8.2. Odbiór robót zanikających i ulegających zakryciu</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Odbiorowi robót zanikających i ulegających zakryciu podlegają:</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wykonane koryto,</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wykonana podsypka.</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bookmarkStart w:id="1366" w:name="_Toc426435745"/>
      <w:bookmarkStart w:id="1367" w:name="_Toc426531390"/>
      <w:bookmarkStart w:id="1368" w:name="_Toc507896385"/>
      <w:r w:rsidRPr="007078D3">
        <w:rPr>
          <w:rFonts w:ascii="Times New Roman" w:hAnsi="Times New Roman" w:cs="Times New Roman"/>
          <w:szCs w:val="20"/>
        </w:rPr>
        <w:t>9. PODSTAWA PŁATNOŚCI</w:t>
      </w:r>
      <w:bookmarkEnd w:id="1366"/>
      <w:bookmarkEnd w:id="1367"/>
      <w:bookmarkEnd w:id="1368"/>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9.1. Ogólne ustalenia dotyczące podstawy płatności</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 xml:space="preserve">Ogólne ustalenia dotyczące podstawy płatności podano w </w:t>
      </w:r>
      <w:r w:rsidR="00855643" w:rsidRPr="007078D3">
        <w:rPr>
          <w:rFonts w:ascii="Times New Roman" w:hAnsi="Times New Roman" w:cs="Times New Roman"/>
          <w:szCs w:val="20"/>
        </w:rPr>
        <w:t>SST</w:t>
      </w:r>
      <w:r w:rsidRPr="007078D3">
        <w:rPr>
          <w:rFonts w:ascii="Times New Roman" w:hAnsi="Times New Roman" w:cs="Times New Roman"/>
          <w:szCs w:val="20"/>
        </w:rPr>
        <w:t xml:space="preserve"> D-00.00.00 „Wymagania ogólne” pkt 9.</w:t>
      </w:r>
    </w:p>
    <w:p w:rsidR="00955388" w:rsidRPr="007078D3" w:rsidRDefault="00955388" w:rsidP="00ED04E8">
      <w:pPr>
        <w:rPr>
          <w:rFonts w:ascii="Times New Roman" w:hAnsi="Times New Roman" w:cs="Times New Roman"/>
          <w:szCs w:val="20"/>
        </w:rPr>
      </w:pP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9.2. Cena jednostki obmiarowej</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ab/>
        <w:t>Cena wykonania 1 m betonowego obrzeża chodnikowego obejmuje:</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prace pomiarowe i roboty przygotowawcze,</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dostarczenie materiałów,</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wykonanie koryta,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rozścielenie i ubicie podsypki,</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ustawienie obrzeża,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wypełnienie spoin,</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obsypanie zewnętrznej ściany obrzeża,</w:t>
      </w:r>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      wykonanie badań i pomiarów wymaganych w specyfikacji technicznej.</w:t>
      </w:r>
    </w:p>
    <w:p w:rsidR="00A913F5" w:rsidRPr="007078D3" w:rsidRDefault="00955388" w:rsidP="00ED04E8">
      <w:pPr>
        <w:rPr>
          <w:rFonts w:ascii="Times New Roman" w:hAnsi="Times New Roman" w:cs="Times New Roman"/>
          <w:szCs w:val="20"/>
        </w:rPr>
      </w:pPr>
      <w:bookmarkStart w:id="1369" w:name="_Toc426531391"/>
      <w:bookmarkStart w:id="1370" w:name="_Toc507896386"/>
      <w:r w:rsidRPr="007078D3">
        <w:rPr>
          <w:rFonts w:ascii="Times New Roman" w:hAnsi="Times New Roman" w:cs="Times New Roman"/>
          <w:szCs w:val="20"/>
        </w:rPr>
        <w:t>10. PRZEPISY ZWIĄZANE</w:t>
      </w:r>
      <w:bookmarkEnd w:id="1369"/>
      <w:bookmarkEnd w:id="1370"/>
    </w:p>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Normy</w:t>
      </w:r>
    </w:p>
    <w:tbl>
      <w:tblPr>
        <w:tblW w:w="10632" w:type="dxa"/>
        <w:tblCellMar>
          <w:left w:w="70" w:type="dxa"/>
          <w:right w:w="70" w:type="dxa"/>
        </w:tblCellMar>
        <w:tblLook w:val="04A0"/>
      </w:tblPr>
      <w:tblGrid>
        <w:gridCol w:w="637"/>
        <w:gridCol w:w="1490"/>
        <w:gridCol w:w="8505"/>
      </w:tblGrid>
      <w:tr w:rsidR="00A913F5" w:rsidRPr="007078D3" w:rsidTr="00955388">
        <w:tc>
          <w:tcPr>
            <w:tcW w:w="637"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lastRenderedPageBreak/>
              <w:t>1.</w:t>
            </w:r>
          </w:p>
        </w:tc>
        <w:tc>
          <w:tcPr>
            <w:tcW w:w="1490"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PN-B-06050</w:t>
            </w:r>
          </w:p>
        </w:tc>
        <w:tc>
          <w:tcPr>
            <w:tcW w:w="8505"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Roboty ziemne budowlane</w:t>
            </w:r>
          </w:p>
        </w:tc>
      </w:tr>
      <w:tr w:rsidR="00A913F5" w:rsidRPr="007078D3" w:rsidTr="00955388">
        <w:tc>
          <w:tcPr>
            <w:tcW w:w="637"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2.</w:t>
            </w:r>
          </w:p>
        </w:tc>
        <w:tc>
          <w:tcPr>
            <w:tcW w:w="1490"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PN-B-06250</w:t>
            </w:r>
          </w:p>
        </w:tc>
        <w:tc>
          <w:tcPr>
            <w:tcW w:w="8505"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Beton zwykły</w:t>
            </w:r>
          </w:p>
        </w:tc>
      </w:tr>
      <w:tr w:rsidR="00A913F5" w:rsidRPr="007078D3" w:rsidTr="00955388">
        <w:tc>
          <w:tcPr>
            <w:tcW w:w="637"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3.</w:t>
            </w:r>
          </w:p>
        </w:tc>
        <w:tc>
          <w:tcPr>
            <w:tcW w:w="1490"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PN-B-06711</w:t>
            </w:r>
          </w:p>
        </w:tc>
        <w:tc>
          <w:tcPr>
            <w:tcW w:w="8505"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Kruszywo mineralne. Piasek do betonów i zapraw</w:t>
            </w:r>
          </w:p>
        </w:tc>
      </w:tr>
      <w:tr w:rsidR="00A913F5" w:rsidRPr="007078D3" w:rsidTr="00955388">
        <w:tc>
          <w:tcPr>
            <w:tcW w:w="637"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4.</w:t>
            </w:r>
          </w:p>
        </w:tc>
        <w:tc>
          <w:tcPr>
            <w:tcW w:w="1490"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PN-B-10021</w:t>
            </w:r>
          </w:p>
        </w:tc>
        <w:tc>
          <w:tcPr>
            <w:tcW w:w="8505"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Prefabrykaty budowlane z betonu. Metody pomiaru cech geometrycznych</w:t>
            </w:r>
          </w:p>
        </w:tc>
      </w:tr>
      <w:tr w:rsidR="00A913F5" w:rsidRPr="007078D3" w:rsidTr="00955388">
        <w:tc>
          <w:tcPr>
            <w:tcW w:w="637"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6.</w:t>
            </w:r>
          </w:p>
        </w:tc>
        <w:tc>
          <w:tcPr>
            <w:tcW w:w="1490"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PN-B-11113</w:t>
            </w:r>
          </w:p>
        </w:tc>
        <w:tc>
          <w:tcPr>
            <w:tcW w:w="8505"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Kruszywo mineralne. Kruszywa naturalne do nawierzchni drogowych. Piasek</w:t>
            </w:r>
          </w:p>
        </w:tc>
      </w:tr>
      <w:tr w:rsidR="00A913F5" w:rsidRPr="007078D3" w:rsidTr="00955388">
        <w:tc>
          <w:tcPr>
            <w:tcW w:w="637"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7.</w:t>
            </w:r>
          </w:p>
        </w:tc>
        <w:tc>
          <w:tcPr>
            <w:tcW w:w="1490"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PN-B-19701</w:t>
            </w:r>
          </w:p>
        </w:tc>
        <w:tc>
          <w:tcPr>
            <w:tcW w:w="8505"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Cement. Cement powszechnego użytku. Skład, wymagania i ocena zgodności</w:t>
            </w:r>
          </w:p>
        </w:tc>
      </w:tr>
      <w:tr w:rsidR="00A913F5" w:rsidRPr="007078D3" w:rsidTr="00955388">
        <w:tc>
          <w:tcPr>
            <w:tcW w:w="637"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9.</w:t>
            </w:r>
          </w:p>
        </w:tc>
        <w:tc>
          <w:tcPr>
            <w:tcW w:w="1490"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BN-80/6775-03/04</w:t>
            </w:r>
          </w:p>
        </w:tc>
        <w:tc>
          <w:tcPr>
            <w:tcW w:w="8505" w:type="dxa"/>
            <w:hideMark/>
          </w:tcPr>
          <w:p w:rsidR="00A913F5" w:rsidRPr="007078D3" w:rsidRDefault="00A913F5" w:rsidP="00ED04E8">
            <w:pPr>
              <w:rPr>
                <w:rFonts w:ascii="Times New Roman" w:hAnsi="Times New Roman" w:cs="Times New Roman"/>
                <w:szCs w:val="20"/>
              </w:rPr>
            </w:pPr>
            <w:r w:rsidRPr="007078D3">
              <w:rPr>
                <w:rFonts w:ascii="Times New Roman" w:hAnsi="Times New Roman" w:cs="Times New Roman"/>
                <w:szCs w:val="20"/>
              </w:rPr>
              <w:t>Prefabrykaty budowlane z betonu. Elementy nawierzchni dróg, ulic, parkingów i torowisk tramwajowych. Krawężniki i obrzeża.</w:t>
            </w:r>
          </w:p>
        </w:tc>
      </w:tr>
    </w:tbl>
    <w:p w:rsidR="00A913F5" w:rsidRPr="007078D3" w:rsidRDefault="00A913F5" w:rsidP="00ED04E8">
      <w:pPr>
        <w:rPr>
          <w:rFonts w:ascii="Times New Roman" w:hAnsi="Times New Roman" w:cs="Times New Roman"/>
          <w:szCs w:val="20"/>
        </w:rPr>
      </w:pPr>
    </w:p>
    <w:sectPr w:rsidR="00A913F5" w:rsidRPr="007078D3" w:rsidSect="003669A2">
      <w:headerReference w:type="even" r:id="rId99"/>
      <w:headerReference w:type="default" r:id="rId100"/>
      <w:footerReference w:type="even" r:id="rId101"/>
      <w:footerReference w:type="default" r:id="rId102"/>
      <w:pgSz w:w="11906" w:h="16838"/>
      <w:pgMar w:top="1177" w:right="720" w:bottom="426" w:left="709" w:header="708" w:footer="32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B4823" w:rsidRDefault="009B4823" w:rsidP="00901974">
      <w:r>
        <w:separator/>
      </w:r>
    </w:p>
  </w:endnote>
  <w:endnote w:type="continuationSeparator" w:id="0">
    <w:p w:rsidR="009B4823" w:rsidRDefault="009B4823" w:rsidP="0090197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tarSymbol">
    <w:altName w:val="Yu Gothic"/>
    <w:charset w:val="80"/>
    <w:family w:val="auto"/>
    <w:pitch w:val="default"/>
    <w:sig w:usb0="00000000" w:usb1="00000000" w:usb2="00000000" w:usb3="00000000" w:csb0="0000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8507245"/>
      <w:docPartObj>
        <w:docPartGallery w:val="Page Numbers (Bottom of Page)"/>
        <w:docPartUnique/>
      </w:docPartObj>
    </w:sdtPr>
    <w:sdtContent>
      <w:p w:rsidR="00FE654F" w:rsidRDefault="00B63ECE">
        <w:pPr>
          <w:pStyle w:val="Stopka"/>
        </w:pPr>
        <w:r>
          <w:fldChar w:fldCharType="begin"/>
        </w:r>
        <w:r w:rsidR="009B4823">
          <w:instrText>PAGE   \* MERGEFORMAT</w:instrText>
        </w:r>
        <w:r>
          <w:fldChar w:fldCharType="separate"/>
        </w:r>
        <w:r w:rsidR="00BE50C0">
          <w:rPr>
            <w:noProof/>
          </w:rPr>
          <w:t>2</w:t>
        </w:r>
        <w:r>
          <w:rPr>
            <w:noProof/>
          </w:rPr>
          <w:fldChar w:fldCharType="end"/>
        </w:r>
      </w:p>
    </w:sdtContent>
  </w:sdt>
  <w:p w:rsidR="00FE654F" w:rsidRDefault="00FE654F">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2917223"/>
      <w:docPartObj>
        <w:docPartGallery w:val="Page Numbers (Bottom of Page)"/>
        <w:docPartUnique/>
      </w:docPartObj>
    </w:sdtPr>
    <w:sdtContent>
      <w:p w:rsidR="00FE654F" w:rsidRDefault="00B63ECE">
        <w:pPr>
          <w:pStyle w:val="Stopka"/>
          <w:jc w:val="right"/>
        </w:pPr>
        <w:r>
          <w:fldChar w:fldCharType="begin"/>
        </w:r>
        <w:r w:rsidR="009B4823">
          <w:instrText>PAGE   \* MERGEFORMAT</w:instrText>
        </w:r>
        <w:r>
          <w:fldChar w:fldCharType="separate"/>
        </w:r>
        <w:r w:rsidR="00BE50C0">
          <w:rPr>
            <w:noProof/>
          </w:rPr>
          <w:t>3</w:t>
        </w:r>
        <w:r>
          <w:rPr>
            <w:noProof/>
          </w:rPr>
          <w:fldChar w:fldCharType="end"/>
        </w:r>
      </w:p>
    </w:sdtContent>
  </w:sdt>
  <w:p w:rsidR="00FE654F" w:rsidRDefault="00FE654F">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B4823" w:rsidRDefault="009B4823" w:rsidP="00901974">
      <w:r>
        <w:separator/>
      </w:r>
    </w:p>
  </w:footnote>
  <w:footnote w:type="continuationSeparator" w:id="0">
    <w:p w:rsidR="009B4823" w:rsidRDefault="009B4823" w:rsidP="0090197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5643" w:rsidRPr="003410EB" w:rsidRDefault="00FE654F" w:rsidP="00BE031A">
    <w:pPr>
      <w:pStyle w:val="Nagwek"/>
      <w:jc w:val="center"/>
      <w:rPr>
        <w:rFonts w:ascii="Times New Roman" w:hAnsi="Times New Roman" w:cs="Times New Roman"/>
        <w:szCs w:val="20"/>
      </w:rPr>
    </w:pPr>
    <w:r w:rsidRPr="003410EB">
      <w:rPr>
        <w:rFonts w:ascii="Times New Roman" w:hAnsi="Times New Roman" w:cs="Times New Roman"/>
        <w:szCs w:val="20"/>
      </w:rPr>
      <w:t xml:space="preserve">Szczegółowe Specyfikacje Techniczne Wykonania i Odbioru Robót Budowlanych dla zadania: </w:t>
    </w:r>
  </w:p>
  <w:p w:rsidR="003410EB" w:rsidRPr="003410EB" w:rsidRDefault="00E847A6" w:rsidP="003410EB">
    <w:pPr>
      <w:tabs>
        <w:tab w:val="left" w:pos="5040"/>
      </w:tabs>
      <w:autoSpaceDE w:val="0"/>
      <w:autoSpaceDN w:val="0"/>
      <w:adjustRightInd w:val="0"/>
      <w:jc w:val="center"/>
      <w:rPr>
        <w:rFonts w:ascii="Times New Roman" w:hAnsi="Times New Roman"/>
        <w:iCs/>
        <w:color w:val="000000"/>
        <w:szCs w:val="20"/>
      </w:rPr>
    </w:pPr>
    <w:r w:rsidRPr="005B14C6">
      <w:rPr>
        <w:rFonts w:ascii="Times New Roman" w:hAnsi="Times New Roman"/>
        <w:iCs/>
      </w:rPr>
      <w:t>„</w:t>
    </w:r>
    <w:bookmarkStart w:id="1371" w:name="_Hlk182824161"/>
    <w:r w:rsidRPr="005B14C6">
      <w:rPr>
        <w:rFonts w:ascii="Times New Roman" w:hAnsi="Times New Roman"/>
        <w:b/>
        <w:bCs/>
      </w:rPr>
      <w:t>ZMIANA SPOSOBU UŻYTKOWANIA CZĘŚCI POMIESZCZEŃ PRZEDSZKOLA Z PRZEZNACZENIEM NA ŻŁOBEK "BAJKOWA KRAINA"</w:t>
    </w:r>
    <w:r w:rsidRPr="005B14C6">
      <w:rPr>
        <w:rFonts w:ascii="Times New Roman" w:hAnsi="Times New Roman"/>
        <w:iCs/>
      </w:rPr>
      <w:t>" – branża drogowa</w:t>
    </w:r>
    <w:bookmarkEnd w:id="1371"/>
    <w:r w:rsidRPr="005B14C6">
      <w:rPr>
        <w:rFonts w:ascii="Times New Roman" w:hAnsi="Times New Roman"/>
        <w:iCs/>
      </w:rPr>
      <w:t>.</w:t>
    </w:r>
  </w:p>
  <w:p w:rsidR="00FE654F" w:rsidRPr="00825DC9" w:rsidRDefault="00B63ECE" w:rsidP="00145643">
    <w:pPr>
      <w:pStyle w:val="Podtytu"/>
      <w:spacing w:after="0"/>
      <w:rPr>
        <w:rFonts w:ascii="Times New Roman" w:hAnsi="Times New Roman"/>
        <w:color w:val="auto"/>
        <w:sz w:val="18"/>
        <w:szCs w:val="18"/>
      </w:rPr>
    </w:pPr>
    <w:r w:rsidRPr="00B63ECE">
      <w:rPr>
        <w:rFonts w:ascii="Times New Roman" w:hAnsi="Times New Roman"/>
        <w:color w:val="auto"/>
        <w:sz w:val="18"/>
        <w:szCs w:val="18"/>
      </w:rPr>
      <w:pict>
        <v:rect id="_x0000_i1025" style="width:0;height:1.5pt" o:hralign="center" o:hrstd="t" o:hr="t" fillcolor="gray" stroked="f"/>
      </w:pict>
    </w:r>
  </w:p>
  <w:p w:rsidR="00145643" w:rsidRPr="00145643" w:rsidRDefault="00145643" w:rsidP="00145643">
    <w:pPr>
      <w:rPr>
        <w:lang w:eastAsia="pl-PL"/>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10EB" w:rsidRPr="003410EB" w:rsidRDefault="003410EB" w:rsidP="003410EB">
    <w:pPr>
      <w:pStyle w:val="Nagwek"/>
      <w:jc w:val="center"/>
      <w:rPr>
        <w:rFonts w:ascii="Times New Roman" w:hAnsi="Times New Roman" w:cs="Times New Roman"/>
        <w:szCs w:val="20"/>
      </w:rPr>
    </w:pPr>
    <w:r w:rsidRPr="003410EB">
      <w:rPr>
        <w:rFonts w:ascii="Times New Roman" w:hAnsi="Times New Roman" w:cs="Times New Roman"/>
        <w:szCs w:val="20"/>
      </w:rPr>
      <w:t xml:space="preserve">Szczegółowe Specyfikacje Techniczne Wykonania i Odbioru Robót Budowlanych dla zadania: </w:t>
    </w:r>
  </w:p>
  <w:p w:rsidR="003410EB" w:rsidRPr="003410EB" w:rsidRDefault="003410EB" w:rsidP="003410EB">
    <w:pPr>
      <w:tabs>
        <w:tab w:val="left" w:pos="5040"/>
      </w:tabs>
      <w:autoSpaceDE w:val="0"/>
      <w:autoSpaceDN w:val="0"/>
      <w:adjustRightInd w:val="0"/>
      <w:jc w:val="center"/>
      <w:rPr>
        <w:rFonts w:ascii="Times New Roman" w:hAnsi="Times New Roman"/>
        <w:iCs/>
        <w:color w:val="000000"/>
        <w:szCs w:val="20"/>
      </w:rPr>
    </w:pPr>
    <w:r w:rsidRPr="003410EB">
      <w:rPr>
        <w:rFonts w:ascii="Times New Roman" w:hAnsi="Times New Roman"/>
        <w:szCs w:val="20"/>
      </w:rPr>
      <w:t>„Modernizacja sali gimnastycznej z dostosowaniem do potrzeb dzieci z niepełnosprawnościami</w:t>
    </w:r>
    <w:r w:rsidRPr="003410EB">
      <w:rPr>
        <w:rFonts w:ascii="Times New Roman" w:hAnsi="Times New Roman"/>
        <w:iCs/>
        <w:szCs w:val="20"/>
      </w:rPr>
      <w:t>" – branża drogowa.</w:t>
    </w:r>
  </w:p>
  <w:p w:rsidR="00FE654F" w:rsidRDefault="00B63ECE" w:rsidP="003410EB">
    <w:pPr>
      <w:pStyle w:val="Nagwek"/>
    </w:pPr>
    <w:r w:rsidRPr="00B63ECE">
      <w:rPr>
        <w:rFonts w:ascii="Times New Roman" w:hAnsi="Times New Roman"/>
        <w:sz w:val="18"/>
        <w:szCs w:val="18"/>
      </w:rPr>
      <w:pict>
        <v:rect id="_x0000_i1026" style="width:0;height:1.5pt" o:hralign="center" o:hrstd="t" o:hr="t" fillcolor="gray" stroked="f"/>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FA2C092"/>
    <w:lvl w:ilvl="0">
      <w:start w:val="1"/>
      <w:numFmt w:val="bullet"/>
      <w:pStyle w:val="Listapunktowana"/>
      <w:lvlText w:val=""/>
      <w:lvlJc w:val="left"/>
      <w:pPr>
        <w:tabs>
          <w:tab w:val="num" w:pos="360"/>
        </w:tabs>
        <w:ind w:left="360" w:hanging="360"/>
      </w:pPr>
      <w:rPr>
        <w:rFonts w:ascii="Symbol" w:hAnsi="Symbol" w:hint="default"/>
      </w:rPr>
    </w:lvl>
  </w:abstractNum>
  <w:num w:numId="1">
    <w:abstractNumId w:val="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hyphenationZone w:val="425"/>
  <w:evenAndOddHeaders/>
  <w:drawingGridHorizontalSpacing w:val="100"/>
  <w:displayHorizontalDrawingGridEvery w:val="2"/>
  <w:characterSpacingControl w:val="doNotCompress"/>
  <w:hdrShapeDefaults>
    <o:shapedefaults v:ext="edit" spidmax="4098"/>
  </w:hdrShapeDefaults>
  <w:footnotePr>
    <w:footnote w:id="-1"/>
    <w:footnote w:id="0"/>
  </w:footnotePr>
  <w:endnotePr>
    <w:endnote w:id="-1"/>
    <w:endnote w:id="0"/>
  </w:endnotePr>
  <w:compat/>
  <w:rsids>
    <w:rsidRoot w:val="00A86226"/>
    <w:rsid w:val="00005E28"/>
    <w:rsid w:val="00042B33"/>
    <w:rsid w:val="00061EAA"/>
    <w:rsid w:val="00081520"/>
    <w:rsid w:val="00092426"/>
    <w:rsid w:val="000A0452"/>
    <w:rsid w:val="000D7500"/>
    <w:rsid w:val="000F6163"/>
    <w:rsid w:val="000F73AB"/>
    <w:rsid w:val="0010584E"/>
    <w:rsid w:val="00145643"/>
    <w:rsid w:val="00157475"/>
    <w:rsid w:val="00162CE0"/>
    <w:rsid w:val="001667A4"/>
    <w:rsid w:val="00196DDD"/>
    <w:rsid w:val="001D14EE"/>
    <w:rsid w:val="002032FB"/>
    <w:rsid w:val="00204FF3"/>
    <w:rsid w:val="00206058"/>
    <w:rsid w:val="00225827"/>
    <w:rsid w:val="00240A7A"/>
    <w:rsid w:val="00247933"/>
    <w:rsid w:val="002816CD"/>
    <w:rsid w:val="00290322"/>
    <w:rsid w:val="002E5632"/>
    <w:rsid w:val="00310800"/>
    <w:rsid w:val="00325880"/>
    <w:rsid w:val="003279A7"/>
    <w:rsid w:val="0034055A"/>
    <w:rsid w:val="003410EB"/>
    <w:rsid w:val="003669A2"/>
    <w:rsid w:val="00367B57"/>
    <w:rsid w:val="00382265"/>
    <w:rsid w:val="00385A32"/>
    <w:rsid w:val="00385DEF"/>
    <w:rsid w:val="003C032E"/>
    <w:rsid w:val="003C3080"/>
    <w:rsid w:val="00402A13"/>
    <w:rsid w:val="00406CD5"/>
    <w:rsid w:val="00415190"/>
    <w:rsid w:val="00430B53"/>
    <w:rsid w:val="00437A02"/>
    <w:rsid w:val="00445704"/>
    <w:rsid w:val="00470EDF"/>
    <w:rsid w:val="00482958"/>
    <w:rsid w:val="00485A52"/>
    <w:rsid w:val="00487560"/>
    <w:rsid w:val="00494E5B"/>
    <w:rsid w:val="004F3874"/>
    <w:rsid w:val="00504F7A"/>
    <w:rsid w:val="005052C4"/>
    <w:rsid w:val="005669A4"/>
    <w:rsid w:val="0056717F"/>
    <w:rsid w:val="00591F6B"/>
    <w:rsid w:val="005C5831"/>
    <w:rsid w:val="005E2636"/>
    <w:rsid w:val="0061518B"/>
    <w:rsid w:val="00622BDB"/>
    <w:rsid w:val="00626C2A"/>
    <w:rsid w:val="006A0CC1"/>
    <w:rsid w:val="006B085C"/>
    <w:rsid w:val="006C43D4"/>
    <w:rsid w:val="006D540A"/>
    <w:rsid w:val="007078D3"/>
    <w:rsid w:val="00715B96"/>
    <w:rsid w:val="007349D6"/>
    <w:rsid w:val="00780F0F"/>
    <w:rsid w:val="007A1B53"/>
    <w:rsid w:val="007B6491"/>
    <w:rsid w:val="007D070D"/>
    <w:rsid w:val="007D7DA5"/>
    <w:rsid w:val="007F0260"/>
    <w:rsid w:val="00825DC9"/>
    <w:rsid w:val="00830FB4"/>
    <w:rsid w:val="00832524"/>
    <w:rsid w:val="008421D4"/>
    <w:rsid w:val="00847818"/>
    <w:rsid w:val="00855643"/>
    <w:rsid w:val="00892D30"/>
    <w:rsid w:val="00896953"/>
    <w:rsid w:val="008C183C"/>
    <w:rsid w:val="008E5A12"/>
    <w:rsid w:val="008F4E0C"/>
    <w:rsid w:val="00901974"/>
    <w:rsid w:val="0091117B"/>
    <w:rsid w:val="00955388"/>
    <w:rsid w:val="0095577F"/>
    <w:rsid w:val="00985629"/>
    <w:rsid w:val="009A2630"/>
    <w:rsid w:val="009B4823"/>
    <w:rsid w:val="009B4F92"/>
    <w:rsid w:val="009D6945"/>
    <w:rsid w:val="009F0E46"/>
    <w:rsid w:val="00A03A8D"/>
    <w:rsid w:val="00A11F40"/>
    <w:rsid w:val="00A57DD5"/>
    <w:rsid w:val="00A86226"/>
    <w:rsid w:val="00A913F5"/>
    <w:rsid w:val="00AB2A9C"/>
    <w:rsid w:val="00AC201C"/>
    <w:rsid w:val="00AC259A"/>
    <w:rsid w:val="00AC71E5"/>
    <w:rsid w:val="00B00005"/>
    <w:rsid w:val="00B16E39"/>
    <w:rsid w:val="00B23674"/>
    <w:rsid w:val="00B23802"/>
    <w:rsid w:val="00B63ECE"/>
    <w:rsid w:val="00B65100"/>
    <w:rsid w:val="00B96601"/>
    <w:rsid w:val="00BA116C"/>
    <w:rsid w:val="00BD752A"/>
    <w:rsid w:val="00BE031A"/>
    <w:rsid w:val="00BE50C0"/>
    <w:rsid w:val="00C35FAE"/>
    <w:rsid w:val="00CB42A6"/>
    <w:rsid w:val="00CF134D"/>
    <w:rsid w:val="00D1096E"/>
    <w:rsid w:val="00D50B30"/>
    <w:rsid w:val="00D51C94"/>
    <w:rsid w:val="00D51F32"/>
    <w:rsid w:val="00D61589"/>
    <w:rsid w:val="00D70F45"/>
    <w:rsid w:val="00D73A21"/>
    <w:rsid w:val="00D84CAE"/>
    <w:rsid w:val="00DA78E2"/>
    <w:rsid w:val="00DB203D"/>
    <w:rsid w:val="00DC22FB"/>
    <w:rsid w:val="00DC727A"/>
    <w:rsid w:val="00E01523"/>
    <w:rsid w:val="00E07C91"/>
    <w:rsid w:val="00E22AAE"/>
    <w:rsid w:val="00E57DF7"/>
    <w:rsid w:val="00E81854"/>
    <w:rsid w:val="00E83BFB"/>
    <w:rsid w:val="00E847A6"/>
    <w:rsid w:val="00E906C6"/>
    <w:rsid w:val="00E940B5"/>
    <w:rsid w:val="00EC341D"/>
    <w:rsid w:val="00EC4DB2"/>
    <w:rsid w:val="00ED04E8"/>
    <w:rsid w:val="00EE676E"/>
    <w:rsid w:val="00EE6AB5"/>
    <w:rsid w:val="00EE6ACE"/>
    <w:rsid w:val="00EF535A"/>
    <w:rsid w:val="00F22DCD"/>
    <w:rsid w:val="00F56E94"/>
    <w:rsid w:val="00FA24C3"/>
    <w:rsid w:val="00FB48BA"/>
    <w:rsid w:val="00FD09AA"/>
    <w:rsid w:val="00FD7B54"/>
    <w:rsid w:val="00FE61B4"/>
    <w:rsid w:val="00FE654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1096E"/>
    <w:pPr>
      <w:spacing w:after="0" w:line="240" w:lineRule="auto"/>
      <w:jc w:val="both"/>
    </w:pPr>
    <w:rPr>
      <w:rFonts w:ascii="Arial Narrow" w:hAnsi="Arial Narrow"/>
      <w:sz w:val="20"/>
    </w:rPr>
  </w:style>
  <w:style w:type="paragraph" w:styleId="Nagwek1">
    <w:name w:val="heading 1"/>
    <w:basedOn w:val="Normalny"/>
    <w:link w:val="Nagwek1Znak"/>
    <w:uiPriority w:val="9"/>
    <w:qFormat/>
    <w:rsid w:val="00FB48BA"/>
    <w:pPr>
      <w:spacing w:before="100" w:beforeAutospacing="1" w:after="100" w:afterAutospacing="1"/>
      <w:jc w:val="left"/>
      <w:outlineLvl w:val="0"/>
    </w:pPr>
    <w:rPr>
      <w:rFonts w:eastAsia="Times New Roman" w:cs="Times New Roman"/>
      <w:b/>
      <w:bCs/>
      <w:kern w:val="36"/>
      <w:szCs w:val="48"/>
      <w:lang w:eastAsia="pl-PL"/>
    </w:rPr>
  </w:style>
  <w:style w:type="paragraph" w:styleId="Nagwek2">
    <w:name w:val="heading 2"/>
    <w:basedOn w:val="Normalny"/>
    <w:link w:val="Nagwek2Znak"/>
    <w:uiPriority w:val="9"/>
    <w:qFormat/>
    <w:rsid w:val="00FB48BA"/>
    <w:pPr>
      <w:spacing w:before="100" w:beforeAutospacing="1" w:after="100" w:afterAutospacing="1"/>
      <w:jc w:val="left"/>
      <w:outlineLvl w:val="1"/>
    </w:pPr>
    <w:rPr>
      <w:rFonts w:eastAsia="Times New Roman" w:cs="Times New Roman"/>
      <w:b/>
      <w:bCs/>
      <w:szCs w:val="36"/>
      <w:lang w:eastAsia="pl-PL"/>
    </w:rPr>
  </w:style>
  <w:style w:type="paragraph" w:styleId="Nagwek3">
    <w:name w:val="heading 3"/>
    <w:basedOn w:val="Normalny"/>
    <w:next w:val="Normalny"/>
    <w:link w:val="Nagwek3Znak"/>
    <w:uiPriority w:val="9"/>
    <w:unhideWhenUsed/>
    <w:qFormat/>
    <w:rsid w:val="00FB48BA"/>
    <w:pPr>
      <w:keepNext/>
      <w:keepLines/>
      <w:spacing w:before="40"/>
      <w:outlineLvl w:val="2"/>
    </w:pPr>
    <w:rPr>
      <w:rFonts w:eastAsiaTheme="majorEastAsia" w:cstheme="majorBidi"/>
      <w:b/>
      <w:szCs w:val="24"/>
    </w:rPr>
  </w:style>
  <w:style w:type="paragraph" w:styleId="Nagwek4">
    <w:name w:val="heading 4"/>
    <w:basedOn w:val="Normalny"/>
    <w:next w:val="Normalny"/>
    <w:link w:val="Nagwek4Znak"/>
    <w:uiPriority w:val="9"/>
    <w:unhideWhenUsed/>
    <w:qFormat/>
    <w:rsid w:val="00CF134D"/>
    <w:pPr>
      <w:keepNext/>
      <w:keepLines/>
      <w:spacing w:before="40"/>
      <w:outlineLvl w:val="3"/>
    </w:pPr>
    <w:rPr>
      <w:rFonts w:asciiTheme="majorHAnsi" w:eastAsiaTheme="majorEastAsia" w:hAnsiTheme="majorHAnsi" w:cstheme="majorBidi"/>
      <w:i/>
      <w:iCs/>
      <w:color w:val="2F5496" w:themeColor="accent1" w:themeShade="BF"/>
    </w:rPr>
  </w:style>
  <w:style w:type="paragraph" w:styleId="Nagwek6">
    <w:name w:val="heading 6"/>
    <w:basedOn w:val="Normalny"/>
    <w:link w:val="Nagwek6Znak"/>
    <w:uiPriority w:val="9"/>
    <w:qFormat/>
    <w:rsid w:val="00CF134D"/>
    <w:pPr>
      <w:spacing w:before="100" w:beforeAutospacing="1" w:after="100" w:afterAutospacing="1"/>
      <w:jc w:val="left"/>
      <w:outlineLvl w:val="5"/>
    </w:pPr>
    <w:rPr>
      <w:rFonts w:ascii="Times New Roman" w:eastAsia="Times New Roman" w:hAnsi="Times New Roman" w:cs="Times New Roman"/>
      <w:b/>
      <w:bCs/>
      <w:sz w:val="15"/>
      <w:szCs w:val="15"/>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FB48BA"/>
    <w:rPr>
      <w:rFonts w:ascii="Arial Narrow" w:eastAsia="Times New Roman" w:hAnsi="Arial Narrow" w:cs="Times New Roman"/>
      <w:b/>
      <w:bCs/>
      <w:kern w:val="36"/>
      <w:szCs w:val="48"/>
      <w:lang w:eastAsia="pl-PL"/>
    </w:rPr>
  </w:style>
  <w:style w:type="character" w:customStyle="1" w:styleId="Nagwek2Znak">
    <w:name w:val="Nagłówek 2 Znak"/>
    <w:basedOn w:val="Domylnaczcionkaakapitu"/>
    <w:link w:val="Nagwek2"/>
    <w:uiPriority w:val="9"/>
    <w:rsid w:val="00FB48BA"/>
    <w:rPr>
      <w:rFonts w:ascii="Arial Narrow" w:eastAsia="Times New Roman" w:hAnsi="Arial Narrow" w:cs="Times New Roman"/>
      <w:b/>
      <w:bCs/>
      <w:szCs w:val="36"/>
      <w:lang w:eastAsia="pl-PL"/>
    </w:rPr>
  </w:style>
  <w:style w:type="character" w:customStyle="1" w:styleId="Nagwek3Znak">
    <w:name w:val="Nagłówek 3 Znak"/>
    <w:basedOn w:val="Domylnaczcionkaakapitu"/>
    <w:link w:val="Nagwek3"/>
    <w:uiPriority w:val="9"/>
    <w:rsid w:val="00FB48BA"/>
    <w:rPr>
      <w:rFonts w:ascii="Arial Narrow" w:eastAsiaTheme="majorEastAsia" w:hAnsi="Arial Narrow" w:cstheme="majorBidi"/>
      <w:b/>
      <w:szCs w:val="24"/>
    </w:rPr>
  </w:style>
  <w:style w:type="paragraph" w:customStyle="1" w:styleId="standardowytekst">
    <w:name w:val="standardowytekst"/>
    <w:basedOn w:val="Normalny"/>
    <w:rsid w:val="007D070D"/>
    <w:pPr>
      <w:spacing w:before="100" w:beforeAutospacing="1" w:after="100" w:afterAutospacing="1"/>
    </w:pPr>
    <w:rPr>
      <w:rFonts w:ascii="Times New Roman" w:eastAsia="Times New Roman" w:hAnsi="Times New Roman" w:cs="Times New Roman"/>
      <w:sz w:val="24"/>
      <w:szCs w:val="24"/>
      <w:lang w:eastAsia="pl-PL"/>
    </w:rPr>
  </w:style>
  <w:style w:type="paragraph" w:styleId="Bezodstpw">
    <w:name w:val="No Spacing"/>
    <w:aliases w:val="Spis treści"/>
    <w:uiPriority w:val="1"/>
    <w:qFormat/>
    <w:rsid w:val="007D070D"/>
    <w:pPr>
      <w:spacing w:after="0" w:line="360" w:lineRule="auto"/>
      <w:jc w:val="center"/>
    </w:pPr>
    <w:rPr>
      <w:rFonts w:ascii="Arial Narrow" w:hAnsi="Arial Narrow"/>
      <w:b/>
      <w:sz w:val="28"/>
    </w:rPr>
  </w:style>
  <w:style w:type="paragraph" w:styleId="Akapitzlist">
    <w:name w:val="List Paragraph"/>
    <w:basedOn w:val="Normalny"/>
    <w:uiPriority w:val="34"/>
    <w:qFormat/>
    <w:rsid w:val="007D070D"/>
    <w:pPr>
      <w:ind w:left="720"/>
      <w:contextualSpacing/>
    </w:pPr>
  </w:style>
  <w:style w:type="paragraph" w:customStyle="1" w:styleId="tekstost">
    <w:name w:val="tekstost"/>
    <w:basedOn w:val="Normalny"/>
    <w:rsid w:val="00FB48BA"/>
    <w:rPr>
      <w:rFonts w:eastAsia="Times New Roman" w:cs="Times New Roman"/>
      <w:szCs w:val="24"/>
      <w:lang w:eastAsia="pl-PL"/>
    </w:rPr>
  </w:style>
  <w:style w:type="paragraph" w:styleId="Tekstpodstawowywcity">
    <w:name w:val="Body Text Indent"/>
    <w:basedOn w:val="Normalny"/>
    <w:link w:val="TekstpodstawowywcityZnak"/>
    <w:uiPriority w:val="99"/>
    <w:semiHidden/>
    <w:unhideWhenUsed/>
    <w:rsid w:val="00901974"/>
    <w:pPr>
      <w:spacing w:before="100" w:beforeAutospacing="1" w:after="100" w:afterAutospacing="1"/>
      <w:jc w:val="left"/>
    </w:pPr>
    <w:rPr>
      <w:rFonts w:ascii="Times New Roman" w:eastAsia="Times New Roman" w:hAnsi="Times New Roman" w:cs="Times New Roman"/>
      <w:sz w:val="24"/>
      <w:szCs w:val="24"/>
      <w:lang w:eastAsia="pl-PL"/>
    </w:rPr>
  </w:style>
  <w:style w:type="character" w:customStyle="1" w:styleId="TekstpodstawowywcityZnak">
    <w:name w:val="Tekst podstawowy wcięty Znak"/>
    <w:basedOn w:val="Domylnaczcionkaakapitu"/>
    <w:link w:val="Tekstpodstawowywcity"/>
    <w:uiPriority w:val="99"/>
    <w:semiHidden/>
    <w:rsid w:val="00901974"/>
    <w:rPr>
      <w:rFonts w:ascii="Times New Roman" w:eastAsia="Times New Roman" w:hAnsi="Times New Roman" w:cs="Times New Roman"/>
      <w:sz w:val="24"/>
      <w:szCs w:val="24"/>
      <w:lang w:eastAsia="pl-PL"/>
    </w:rPr>
  </w:style>
  <w:style w:type="character" w:styleId="Odwoanieprzypisudolnego">
    <w:name w:val="footnote reference"/>
    <w:basedOn w:val="Domylnaczcionkaakapitu"/>
    <w:uiPriority w:val="99"/>
    <w:semiHidden/>
    <w:unhideWhenUsed/>
    <w:rsid w:val="00901974"/>
  </w:style>
  <w:style w:type="paragraph" w:customStyle="1" w:styleId="styliwony">
    <w:name w:val="styliwony"/>
    <w:basedOn w:val="Normalny"/>
    <w:rsid w:val="00901974"/>
    <w:pPr>
      <w:spacing w:before="100" w:beforeAutospacing="1" w:after="100" w:afterAutospacing="1"/>
      <w:jc w:val="left"/>
    </w:pPr>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unhideWhenUsed/>
    <w:rsid w:val="00385DEF"/>
    <w:pPr>
      <w:tabs>
        <w:tab w:val="right" w:leader="dot" w:pos="10467"/>
      </w:tabs>
      <w:spacing w:after="100"/>
      <w:ind w:firstLine="426"/>
    </w:pPr>
    <w:rPr>
      <w:noProof/>
      <w:lang w:eastAsia="pl-PL"/>
    </w:rPr>
  </w:style>
  <w:style w:type="paragraph" w:styleId="Nagwek">
    <w:name w:val="header"/>
    <w:aliases w:val=" Znak12"/>
    <w:basedOn w:val="Normalny"/>
    <w:link w:val="NagwekZnak"/>
    <w:uiPriority w:val="99"/>
    <w:unhideWhenUsed/>
    <w:rsid w:val="00BE031A"/>
    <w:pPr>
      <w:tabs>
        <w:tab w:val="center" w:pos="4536"/>
        <w:tab w:val="right" w:pos="9072"/>
      </w:tabs>
    </w:pPr>
  </w:style>
  <w:style w:type="character" w:customStyle="1" w:styleId="NagwekZnak">
    <w:name w:val="Nagłówek Znak"/>
    <w:aliases w:val=" Znak12 Znak"/>
    <w:basedOn w:val="Domylnaczcionkaakapitu"/>
    <w:link w:val="Nagwek"/>
    <w:uiPriority w:val="99"/>
    <w:rsid w:val="00BE031A"/>
    <w:rPr>
      <w:rFonts w:ascii="Arial Narrow" w:hAnsi="Arial Narrow"/>
    </w:rPr>
  </w:style>
  <w:style w:type="paragraph" w:styleId="Stopka">
    <w:name w:val="footer"/>
    <w:basedOn w:val="Normalny"/>
    <w:link w:val="StopkaZnak"/>
    <w:uiPriority w:val="99"/>
    <w:unhideWhenUsed/>
    <w:rsid w:val="00BE031A"/>
    <w:pPr>
      <w:tabs>
        <w:tab w:val="center" w:pos="4536"/>
        <w:tab w:val="right" w:pos="9072"/>
      </w:tabs>
    </w:pPr>
  </w:style>
  <w:style w:type="character" w:customStyle="1" w:styleId="StopkaZnak">
    <w:name w:val="Stopka Znak"/>
    <w:basedOn w:val="Domylnaczcionkaakapitu"/>
    <w:link w:val="Stopka"/>
    <w:uiPriority w:val="99"/>
    <w:rsid w:val="00BE031A"/>
    <w:rPr>
      <w:rFonts w:ascii="Arial Narrow" w:hAnsi="Arial Narrow"/>
    </w:rPr>
  </w:style>
  <w:style w:type="character" w:styleId="Hipercze">
    <w:name w:val="Hyperlink"/>
    <w:basedOn w:val="Domylnaczcionkaakapitu"/>
    <w:uiPriority w:val="99"/>
    <w:unhideWhenUsed/>
    <w:rsid w:val="00BE031A"/>
    <w:rPr>
      <w:color w:val="0563C1" w:themeColor="hyperlink"/>
      <w:u w:val="single"/>
    </w:rPr>
  </w:style>
  <w:style w:type="character" w:customStyle="1" w:styleId="spelle">
    <w:name w:val="spelle"/>
    <w:basedOn w:val="Domylnaczcionkaakapitu"/>
    <w:rsid w:val="00901974"/>
  </w:style>
  <w:style w:type="paragraph" w:styleId="Wcicienormalne">
    <w:name w:val="Normal Indent"/>
    <w:basedOn w:val="Normalny"/>
    <w:uiPriority w:val="99"/>
    <w:semiHidden/>
    <w:unhideWhenUsed/>
    <w:rsid w:val="00901974"/>
    <w:pPr>
      <w:spacing w:before="100" w:beforeAutospacing="1" w:after="100" w:afterAutospacing="1"/>
      <w:jc w:val="left"/>
    </w:pPr>
    <w:rPr>
      <w:rFonts w:ascii="Times New Roman" w:eastAsia="Times New Roman" w:hAnsi="Times New Roman" w:cs="Times New Roman"/>
      <w:sz w:val="24"/>
      <w:szCs w:val="24"/>
      <w:lang w:eastAsia="pl-PL"/>
    </w:rPr>
  </w:style>
  <w:style w:type="character" w:customStyle="1" w:styleId="Nagwek4Znak">
    <w:name w:val="Nagłówek 4 Znak"/>
    <w:basedOn w:val="Domylnaczcionkaakapitu"/>
    <w:link w:val="Nagwek4"/>
    <w:uiPriority w:val="9"/>
    <w:rsid w:val="00CF134D"/>
    <w:rPr>
      <w:rFonts w:asciiTheme="majorHAnsi" w:eastAsiaTheme="majorEastAsia" w:hAnsiTheme="majorHAnsi" w:cstheme="majorBidi"/>
      <w:i/>
      <w:iCs/>
      <w:color w:val="2F5496" w:themeColor="accent1" w:themeShade="BF"/>
    </w:rPr>
  </w:style>
  <w:style w:type="paragraph" w:styleId="Tekstpodstawowy2">
    <w:name w:val="Body Text 2"/>
    <w:basedOn w:val="Normalny"/>
    <w:link w:val="Tekstpodstawowy2Znak"/>
    <w:uiPriority w:val="99"/>
    <w:semiHidden/>
    <w:unhideWhenUsed/>
    <w:rsid w:val="00CF134D"/>
    <w:pPr>
      <w:spacing w:after="120" w:line="480" w:lineRule="auto"/>
    </w:pPr>
  </w:style>
  <w:style w:type="character" w:customStyle="1" w:styleId="Tekstpodstawowy2Znak">
    <w:name w:val="Tekst podstawowy 2 Znak"/>
    <w:basedOn w:val="Domylnaczcionkaakapitu"/>
    <w:link w:val="Tekstpodstawowy2"/>
    <w:uiPriority w:val="99"/>
    <w:semiHidden/>
    <w:rsid w:val="00CF134D"/>
    <w:rPr>
      <w:rFonts w:ascii="Arial Narrow" w:hAnsi="Arial Narrow"/>
    </w:rPr>
  </w:style>
  <w:style w:type="paragraph" w:styleId="Tekstpodstawowywcity2">
    <w:name w:val="Body Text Indent 2"/>
    <w:basedOn w:val="Normalny"/>
    <w:link w:val="Tekstpodstawowywcity2Znak"/>
    <w:uiPriority w:val="99"/>
    <w:semiHidden/>
    <w:unhideWhenUsed/>
    <w:rsid w:val="00CF134D"/>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CF134D"/>
    <w:rPr>
      <w:rFonts w:ascii="Arial Narrow" w:hAnsi="Arial Narrow"/>
    </w:rPr>
  </w:style>
  <w:style w:type="paragraph" w:customStyle="1" w:styleId="msonormal0">
    <w:name w:val="msonormal"/>
    <w:basedOn w:val="Normalny"/>
    <w:rsid w:val="00CF134D"/>
    <w:pPr>
      <w:spacing w:before="100" w:beforeAutospacing="1" w:after="100" w:afterAutospacing="1"/>
      <w:jc w:val="left"/>
    </w:pPr>
    <w:rPr>
      <w:rFonts w:ascii="Times New Roman" w:eastAsia="Times New Roman" w:hAnsi="Times New Roman" w:cs="Times New Roman"/>
      <w:sz w:val="24"/>
      <w:szCs w:val="24"/>
      <w:lang w:eastAsia="pl-PL"/>
    </w:rPr>
  </w:style>
  <w:style w:type="paragraph" w:styleId="Tekstprzypisudolnego">
    <w:name w:val="footnote text"/>
    <w:basedOn w:val="Normalny"/>
    <w:link w:val="TekstprzypisudolnegoZnak"/>
    <w:uiPriority w:val="99"/>
    <w:semiHidden/>
    <w:unhideWhenUsed/>
    <w:rsid w:val="00CF134D"/>
    <w:pPr>
      <w:spacing w:before="100" w:beforeAutospacing="1" w:after="100" w:afterAutospacing="1"/>
      <w:jc w:val="left"/>
    </w:pPr>
    <w:rPr>
      <w:rFonts w:ascii="Times New Roman" w:eastAsia="Times New Roman" w:hAnsi="Times New Roman" w:cs="Times New Roman"/>
      <w:sz w:val="24"/>
      <w:szCs w:val="24"/>
      <w:lang w:eastAsia="pl-PL"/>
    </w:rPr>
  </w:style>
  <w:style w:type="character" w:customStyle="1" w:styleId="TekstprzypisudolnegoZnak">
    <w:name w:val="Tekst przypisu dolnego Znak"/>
    <w:basedOn w:val="Domylnaczcionkaakapitu"/>
    <w:link w:val="Tekstprzypisudolnego"/>
    <w:uiPriority w:val="99"/>
    <w:semiHidden/>
    <w:rsid w:val="00CF134D"/>
    <w:rPr>
      <w:rFonts w:ascii="Times New Roman" w:eastAsia="Times New Roman" w:hAnsi="Times New Roman" w:cs="Times New Roman"/>
      <w:sz w:val="24"/>
      <w:szCs w:val="24"/>
      <w:lang w:eastAsia="pl-PL"/>
    </w:rPr>
  </w:style>
  <w:style w:type="paragraph" w:styleId="Tekstkomentarza">
    <w:name w:val="annotation text"/>
    <w:basedOn w:val="Normalny"/>
    <w:link w:val="TekstkomentarzaZnak"/>
    <w:uiPriority w:val="99"/>
    <w:semiHidden/>
    <w:unhideWhenUsed/>
    <w:rsid w:val="00CF134D"/>
    <w:pPr>
      <w:spacing w:before="100" w:beforeAutospacing="1" w:after="100" w:afterAutospacing="1"/>
      <w:jc w:val="left"/>
    </w:pPr>
    <w:rPr>
      <w:rFonts w:ascii="Times New Roman" w:eastAsia="Times New Roman" w:hAnsi="Times New Roman" w:cs="Times New Roman"/>
      <w:sz w:val="24"/>
      <w:szCs w:val="24"/>
      <w:lang w:eastAsia="pl-PL"/>
    </w:rPr>
  </w:style>
  <w:style w:type="character" w:customStyle="1" w:styleId="TekstkomentarzaZnak">
    <w:name w:val="Tekst komentarza Znak"/>
    <w:basedOn w:val="Domylnaczcionkaakapitu"/>
    <w:link w:val="Tekstkomentarza"/>
    <w:uiPriority w:val="99"/>
    <w:semiHidden/>
    <w:rsid w:val="00CF134D"/>
    <w:rPr>
      <w:rFonts w:ascii="Times New Roman" w:eastAsia="Times New Roman" w:hAnsi="Times New Roman" w:cs="Times New Roman"/>
      <w:sz w:val="24"/>
      <w:szCs w:val="24"/>
      <w:lang w:eastAsia="pl-PL"/>
    </w:rPr>
  </w:style>
  <w:style w:type="paragraph" w:styleId="Tekstpodstawowy3">
    <w:name w:val="Body Text 3"/>
    <w:basedOn w:val="Normalny"/>
    <w:link w:val="Tekstpodstawowy3Znak"/>
    <w:uiPriority w:val="99"/>
    <w:semiHidden/>
    <w:unhideWhenUsed/>
    <w:rsid w:val="00CF134D"/>
    <w:pPr>
      <w:spacing w:after="120"/>
    </w:pPr>
    <w:rPr>
      <w:sz w:val="16"/>
      <w:szCs w:val="16"/>
    </w:rPr>
  </w:style>
  <w:style w:type="character" w:customStyle="1" w:styleId="Tekstpodstawowy3Znak">
    <w:name w:val="Tekst podstawowy 3 Znak"/>
    <w:basedOn w:val="Domylnaczcionkaakapitu"/>
    <w:link w:val="Tekstpodstawowy3"/>
    <w:uiPriority w:val="99"/>
    <w:semiHidden/>
    <w:rsid w:val="00CF134D"/>
    <w:rPr>
      <w:rFonts w:ascii="Arial Narrow" w:hAnsi="Arial Narrow"/>
      <w:sz w:val="16"/>
      <w:szCs w:val="16"/>
    </w:rPr>
  </w:style>
  <w:style w:type="paragraph" w:styleId="Tekstpodstawowy">
    <w:name w:val="Body Text"/>
    <w:basedOn w:val="Normalny"/>
    <w:link w:val="TekstpodstawowyZnak"/>
    <w:uiPriority w:val="99"/>
    <w:semiHidden/>
    <w:unhideWhenUsed/>
    <w:rsid w:val="00CF134D"/>
    <w:pPr>
      <w:spacing w:after="120"/>
    </w:pPr>
  </w:style>
  <w:style w:type="character" w:customStyle="1" w:styleId="TekstpodstawowyZnak">
    <w:name w:val="Tekst podstawowy Znak"/>
    <w:basedOn w:val="Domylnaczcionkaakapitu"/>
    <w:link w:val="Tekstpodstawowy"/>
    <w:uiPriority w:val="99"/>
    <w:semiHidden/>
    <w:rsid w:val="00CF134D"/>
    <w:rPr>
      <w:rFonts w:ascii="Arial Narrow" w:hAnsi="Arial Narrow"/>
    </w:rPr>
  </w:style>
  <w:style w:type="character" w:customStyle="1" w:styleId="Nagwek6Znak">
    <w:name w:val="Nagłówek 6 Znak"/>
    <w:basedOn w:val="Domylnaczcionkaakapitu"/>
    <w:link w:val="Nagwek6"/>
    <w:uiPriority w:val="9"/>
    <w:rsid w:val="00CF134D"/>
    <w:rPr>
      <w:rFonts w:ascii="Times New Roman" w:eastAsia="Times New Roman" w:hAnsi="Times New Roman" w:cs="Times New Roman"/>
      <w:b/>
      <w:bCs/>
      <w:sz w:val="15"/>
      <w:szCs w:val="15"/>
      <w:lang w:eastAsia="pl-PL"/>
    </w:rPr>
  </w:style>
  <w:style w:type="paragraph" w:customStyle="1" w:styleId="wypunktowanie">
    <w:name w:val="wypunktowanie"/>
    <w:basedOn w:val="Normalny"/>
    <w:rsid w:val="00CF134D"/>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bodytext3">
    <w:name w:val="bodytext3"/>
    <w:basedOn w:val="Normalny"/>
    <w:rsid w:val="00CF134D"/>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numerowanie">
    <w:name w:val="numerowanie"/>
    <w:basedOn w:val="Normalny"/>
    <w:rsid w:val="00CF134D"/>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bodytextindent3">
    <w:name w:val="bodytextindent3"/>
    <w:basedOn w:val="Normalny"/>
    <w:rsid w:val="00CF134D"/>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tablica">
    <w:name w:val="tablica"/>
    <w:basedOn w:val="Normalny"/>
    <w:rsid w:val="00CF134D"/>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teksttablicy">
    <w:name w:val="teksttablicy"/>
    <w:basedOn w:val="Normalny"/>
    <w:rsid w:val="00CF134D"/>
    <w:pPr>
      <w:spacing w:before="100" w:beforeAutospacing="1" w:after="100" w:afterAutospacing="1"/>
      <w:jc w:val="left"/>
    </w:pPr>
    <w:rPr>
      <w:rFonts w:ascii="Times New Roman" w:eastAsia="Times New Roman" w:hAnsi="Times New Roman" w:cs="Times New Roman"/>
      <w:sz w:val="24"/>
      <w:szCs w:val="24"/>
      <w:lang w:eastAsia="pl-PL"/>
    </w:rPr>
  </w:style>
  <w:style w:type="paragraph" w:styleId="Listapunktowana">
    <w:name w:val="List Bullet"/>
    <w:basedOn w:val="Normalny"/>
    <w:uiPriority w:val="99"/>
    <w:semiHidden/>
    <w:unhideWhenUsed/>
    <w:rsid w:val="00CF134D"/>
    <w:pPr>
      <w:numPr>
        <w:numId w:val="1"/>
      </w:numPr>
      <w:tabs>
        <w:tab w:val="clear" w:pos="360"/>
      </w:tabs>
      <w:spacing w:before="100" w:beforeAutospacing="1" w:after="100" w:afterAutospacing="1"/>
      <w:ind w:left="0" w:firstLine="0"/>
      <w:jc w:val="left"/>
    </w:pPr>
    <w:rPr>
      <w:rFonts w:ascii="Times New Roman" w:eastAsia="Times New Roman" w:hAnsi="Times New Roman" w:cs="Times New Roman"/>
      <w:sz w:val="24"/>
      <w:szCs w:val="24"/>
      <w:lang w:eastAsia="pl-PL"/>
    </w:rPr>
  </w:style>
  <w:style w:type="paragraph" w:styleId="Tekstdymka">
    <w:name w:val="Balloon Text"/>
    <w:basedOn w:val="Normalny"/>
    <w:link w:val="TekstdymkaZnak"/>
    <w:uiPriority w:val="99"/>
    <w:semiHidden/>
    <w:unhideWhenUsed/>
    <w:rsid w:val="00D84CAE"/>
    <w:rPr>
      <w:rFonts w:ascii="Segoe UI" w:hAnsi="Segoe UI" w:cs="Segoe UI"/>
      <w:sz w:val="18"/>
      <w:szCs w:val="18"/>
    </w:rPr>
  </w:style>
  <w:style w:type="character" w:customStyle="1" w:styleId="TekstdymkaZnak">
    <w:name w:val="Tekst dymka Znak"/>
    <w:basedOn w:val="Domylnaczcionkaakapitu"/>
    <w:link w:val="Tekstdymka"/>
    <w:uiPriority w:val="99"/>
    <w:semiHidden/>
    <w:rsid w:val="00D84CAE"/>
    <w:rPr>
      <w:rFonts w:ascii="Segoe UI" w:hAnsi="Segoe UI" w:cs="Segoe UI"/>
      <w:sz w:val="18"/>
      <w:szCs w:val="18"/>
    </w:rPr>
  </w:style>
  <w:style w:type="paragraph" w:customStyle="1" w:styleId="Normalnyzakapitem">
    <w:name w:val="Normalny z akapitem"/>
    <w:basedOn w:val="Normalny"/>
    <w:link w:val="NormalnyzakapitemZnak"/>
    <w:qFormat/>
    <w:rsid w:val="00485A52"/>
    <w:pPr>
      <w:spacing w:line="360" w:lineRule="auto"/>
      <w:ind w:firstLine="426"/>
    </w:pPr>
    <w:rPr>
      <w:rFonts w:ascii="Times New Roman" w:eastAsiaTheme="minorEastAsia" w:hAnsi="Times New Roman"/>
      <w:sz w:val="24"/>
      <w:lang w:eastAsia="pl-PL"/>
    </w:rPr>
  </w:style>
  <w:style w:type="character" w:customStyle="1" w:styleId="NormalnyzakapitemZnak">
    <w:name w:val="Normalny z akapitem Znak"/>
    <w:basedOn w:val="Domylnaczcionkaakapitu"/>
    <w:link w:val="Normalnyzakapitem"/>
    <w:qFormat/>
    <w:rsid w:val="00485A52"/>
    <w:rPr>
      <w:rFonts w:ascii="Times New Roman" w:eastAsiaTheme="minorEastAsia" w:hAnsi="Times New Roman"/>
      <w:sz w:val="24"/>
      <w:lang w:eastAsia="pl-PL"/>
    </w:rPr>
  </w:style>
  <w:style w:type="table" w:styleId="Tabela-Siatka">
    <w:name w:val="Table Grid"/>
    <w:basedOn w:val="Standardowy"/>
    <w:uiPriority w:val="59"/>
    <w:rsid w:val="00485A52"/>
    <w:pPr>
      <w:spacing w:after="0" w:line="240" w:lineRule="auto"/>
    </w:pPr>
    <w:rPr>
      <w:rFonts w:eastAsiaTheme="minorEastAsia"/>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odtytu">
    <w:name w:val="Subtitle"/>
    <w:aliases w:val="nagłówek a)"/>
    <w:basedOn w:val="Normalny"/>
    <w:next w:val="Normalny"/>
    <w:link w:val="PodtytuZnak"/>
    <w:uiPriority w:val="11"/>
    <w:qFormat/>
    <w:rsid w:val="00145643"/>
    <w:pPr>
      <w:overflowPunct w:val="0"/>
      <w:autoSpaceDE w:val="0"/>
      <w:autoSpaceDN w:val="0"/>
      <w:adjustRightInd w:val="0"/>
      <w:spacing w:after="60"/>
      <w:jc w:val="center"/>
      <w:textAlignment w:val="baseline"/>
      <w:outlineLvl w:val="1"/>
    </w:pPr>
    <w:rPr>
      <w:rFonts w:eastAsia="Times New Roman" w:cs="Times New Roman"/>
      <w:color w:val="7F7F7F"/>
      <w:szCs w:val="24"/>
      <w:lang w:eastAsia="pl-PL"/>
    </w:rPr>
  </w:style>
  <w:style w:type="character" w:customStyle="1" w:styleId="PodtytuZnak">
    <w:name w:val="Podtytuł Znak"/>
    <w:aliases w:val="nagłówek a) Znak"/>
    <w:basedOn w:val="Domylnaczcionkaakapitu"/>
    <w:link w:val="Podtytu"/>
    <w:uiPriority w:val="11"/>
    <w:rsid w:val="00145643"/>
    <w:rPr>
      <w:rFonts w:ascii="Arial Narrow" w:eastAsia="Times New Roman" w:hAnsi="Arial Narrow" w:cs="Times New Roman"/>
      <w:color w:val="7F7F7F"/>
      <w:sz w:val="20"/>
      <w:szCs w:val="24"/>
      <w:lang w:eastAsia="pl-PL"/>
    </w:rPr>
  </w:style>
  <w:style w:type="paragraph" w:styleId="Spistreci2">
    <w:name w:val="toc 2"/>
    <w:basedOn w:val="Normalny"/>
    <w:next w:val="Normalny"/>
    <w:autoRedefine/>
    <w:uiPriority w:val="39"/>
    <w:unhideWhenUsed/>
    <w:rsid w:val="00385DEF"/>
    <w:pPr>
      <w:spacing w:after="100" w:line="276" w:lineRule="auto"/>
      <w:ind w:left="220"/>
      <w:jc w:val="left"/>
    </w:pPr>
    <w:rPr>
      <w:rFonts w:asciiTheme="minorHAnsi" w:eastAsiaTheme="minorEastAsia" w:hAnsiTheme="minorHAnsi"/>
      <w:sz w:val="22"/>
      <w:lang w:eastAsia="pl-PL"/>
    </w:rPr>
  </w:style>
  <w:style w:type="paragraph" w:styleId="Spistreci3">
    <w:name w:val="toc 3"/>
    <w:basedOn w:val="Normalny"/>
    <w:next w:val="Normalny"/>
    <w:autoRedefine/>
    <w:uiPriority w:val="39"/>
    <w:unhideWhenUsed/>
    <w:rsid w:val="00385DEF"/>
    <w:pPr>
      <w:spacing w:after="100" w:line="276" w:lineRule="auto"/>
      <w:ind w:left="440"/>
      <w:jc w:val="left"/>
    </w:pPr>
    <w:rPr>
      <w:rFonts w:asciiTheme="minorHAnsi" w:eastAsiaTheme="minorEastAsia" w:hAnsiTheme="minorHAnsi"/>
      <w:sz w:val="22"/>
      <w:lang w:eastAsia="pl-PL"/>
    </w:rPr>
  </w:style>
  <w:style w:type="paragraph" w:styleId="Spistreci4">
    <w:name w:val="toc 4"/>
    <w:basedOn w:val="Normalny"/>
    <w:next w:val="Normalny"/>
    <w:autoRedefine/>
    <w:uiPriority w:val="39"/>
    <w:unhideWhenUsed/>
    <w:rsid w:val="00385DEF"/>
    <w:pPr>
      <w:spacing w:after="100" w:line="276" w:lineRule="auto"/>
      <w:ind w:left="660"/>
      <w:jc w:val="left"/>
    </w:pPr>
    <w:rPr>
      <w:rFonts w:asciiTheme="minorHAnsi" w:eastAsiaTheme="minorEastAsia" w:hAnsiTheme="minorHAnsi"/>
      <w:sz w:val="22"/>
      <w:lang w:eastAsia="pl-PL"/>
    </w:rPr>
  </w:style>
  <w:style w:type="paragraph" w:styleId="Spistreci5">
    <w:name w:val="toc 5"/>
    <w:basedOn w:val="Normalny"/>
    <w:next w:val="Normalny"/>
    <w:autoRedefine/>
    <w:uiPriority w:val="39"/>
    <w:unhideWhenUsed/>
    <w:rsid w:val="00385DEF"/>
    <w:pPr>
      <w:spacing w:after="100" w:line="276" w:lineRule="auto"/>
      <w:ind w:left="880"/>
      <w:jc w:val="left"/>
    </w:pPr>
    <w:rPr>
      <w:rFonts w:asciiTheme="minorHAnsi" w:eastAsiaTheme="minorEastAsia" w:hAnsiTheme="minorHAnsi"/>
      <w:sz w:val="22"/>
      <w:lang w:eastAsia="pl-PL"/>
    </w:rPr>
  </w:style>
  <w:style w:type="paragraph" w:styleId="Spistreci6">
    <w:name w:val="toc 6"/>
    <w:basedOn w:val="Normalny"/>
    <w:next w:val="Normalny"/>
    <w:autoRedefine/>
    <w:uiPriority w:val="39"/>
    <w:unhideWhenUsed/>
    <w:rsid w:val="00385DEF"/>
    <w:pPr>
      <w:spacing w:after="100" w:line="276" w:lineRule="auto"/>
      <w:ind w:left="1100"/>
      <w:jc w:val="left"/>
    </w:pPr>
    <w:rPr>
      <w:rFonts w:asciiTheme="minorHAnsi" w:eastAsiaTheme="minorEastAsia" w:hAnsiTheme="minorHAnsi"/>
      <w:sz w:val="22"/>
      <w:lang w:eastAsia="pl-PL"/>
    </w:rPr>
  </w:style>
  <w:style w:type="paragraph" w:styleId="Spistreci7">
    <w:name w:val="toc 7"/>
    <w:basedOn w:val="Normalny"/>
    <w:next w:val="Normalny"/>
    <w:autoRedefine/>
    <w:uiPriority w:val="39"/>
    <w:unhideWhenUsed/>
    <w:rsid w:val="00385DEF"/>
    <w:pPr>
      <w:spacing w:after="100" w:line="276" w:lineRule="auto"/>
      <w:ind w:left="1320"/>
      <w:jc w:val="left"/>
    </w:pPr>
    <w:rPr>
      <w:rFonts w:asciiTheme="minorHAnsi" w:eastAsiaTheme="minorEastAsia" w:hAnsiTheme="minorHAnsi"/>
      <w:sz w:val="22"/>
      <w:lang w:eastAsia="pl-PL"/>
    </w:rPr>
  </w:style>
  <w:style w:type="paragraph" w:styleId="Spistreci8">
    <w:name w:val="toc 8"/>
    <w:basedOn w:val="Normalny"/>
    <w:next w:val="Normalny"/>
    <w:autoRedefine/>
    <w:uiPriority w:val="39"/>
    <w:unhideWhenUsed/>
    <w:rsid w:val="00385DEF"/>
    <w:pPr>
      <w:spacing w:after="100" w:line="276" w:lineRule="auto"/>
      <w:ind w:left="1540"/>
      <w:jc w:val="left"/>
    </w:pPr>
    <w:rPr>
      <w:rFonts w:asciiTheme="minorHAnsi" w:eastAsiaTheme="minorEastAsia" w:hAnsiTheme="minorHAnsi"/>
      <w:sz w:val="22"/>
      <w:lang w:eastAsia="pl-PL"/>
    </w:rPr>
  </w:style>
  <w:style w:type="paragraph" w:styleId="Spistreci9">
    <w:name w:val="toc 9"/>
    <w:basedOn w:val="Normalny"/>
    <w:next w:val="Normalny"/>
    <w:autoRedefine/>
    <w:uiPriority w:val="39"/>
    <w:unhideWhenUsed/>
    <w:rsid w:val="00385DEF"/>
    <w:pPr>
      <w:spacing w:after="100" w:line="276" w:lineRule="auto"/>
      <w:ind w:left="1760"/>
      <w:jc w:val="left"/>
    </w:pPr>
    <w:rPr>
      <w:rFonts w:asciiTheme="minorHAnsi" w:eastAsiaTheme="minorEastAsia" w:hAnsiTheme="minorHAnsi"/>
      <w:sz w:val="22"/>
      <w:lang w:eastAsia="pl-PL"/>
    </w:rPr>
  </w:style>
  <w:style w:type="paragraph" w:customStyle="1" w:styleId="Default">
    <w:name w:val="Default"/>
    <w:qFormat/>
    <w:rsid w:val="00E22AAE"/>
    <w:pPr>
      <w:suppressAutoHyphens/>
      <w:spacing w:after="0" w:line="100" w:lineRule="atLeast"/>
      <w:jc w:val="both"/>
    </w:pPr>
    <w:rPr>
      <w:rFonts w:eastAsia="Calibri" w:cs="Times New Roman"/>
      <w:color w:val="000000"/>
      <w:kern w:val="2"/>
      <w:sz w:val="20"/>
      <w:szCs w:val="24"/>
      <w:lang w:eastAsia="zh-CN"/>
    </w:rPr>
  </w:style>
  <w:style w:type="paragraph" w:styleId="Legenda">
    <w:name w:val="caption"/>
    <w:basedOn w:val="Normalny"/>
    <w:uiPriority w:val="35"/>
    <w:qFormat/>
    <w:rsid w:val="0034055A"/>
    <w:pPr>
      <w:spacing w:before="100" w:beforeAutospacing="1" w:after="100" w:afterAutospacing="1"/>
      <w:jc w:val="left"/>
    </w:pPr>
    <w:rPr>
      <w:rFonts w:ascii="Times New Roman" w:eastAsia="Times New Roman" w:hAnsi="Times New Roman" w:cs="Times New Roman"/>
      <w:sz w:val="24"/>
      <w:szCs w:val="24"/>
      <w:lang w:eastAsia="pl-PL"/>
    </w:rPr>
  </w:style>
  <w:style w:type="paragraph" w:styleId="Tytu">
    <w:name w:val="Title"/>
    <w:basedOn w:val="Normalny"/>
    <w:link w:val="TytuZnak"/>
    <w:uiPriority w:val="10"/>
    <w:qFormat/>
    <w:rsid w:val="0034055A"/>
    <w:pPr>
      <w:spacing w:before="100" w:beforeAutospacing="1" w:after="100" w:afterAutospacing="1"/>
      <w:jc w:val="left"/>
    </w:pPr>
    <w:rPr>
      <w:rFonts w:ascii="Times New Roman" w:eastAsia="Times New Roman" w:hAnsi="Times New Roman" w:cs="Times New Roman"/>
      <w:sz w:val="24"/>
      <w:szCs w:val="24"/>
      <w:lang w:eastAsia="pl-PL"/>
    </w:rPr>
  </w:style>
  <w:style w:type="character" w:customStyle="1" w:styleId="TytuZnak">
    <w:name w:val="Tytuł Znak"/>
    <w:basedOn w:val="Domylnaczcionkaakapitu"/>
    <w:link w:val="Tytu"/>
    <w:uiPriority w:val="10"/>
    <w:rsid w:val="0034055A"/>
    <w:rPr>
      <w:rFonts w:ascii="Times New Roman" w:eastAsia="Times New Roman" w:hAnsi="Times New Roman" w:cs="Times New Roman"/>
      <w:sz w:val="24"/>
      <w:szCs w:val="24"/>
      <w:lang w:eastAsia="pl-PL"/>
    </w:rPr>
  </w:style>
  <w:style w:type="paragraph" w:customStyle="1" w:styleId="bodytext2">
    <w:name w:val="bodytext2"/>
    <w:basedOn w:val="Normalny"/>
    <w:rsid w:val="0034055A"/>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tekstpodstawowywcity31">
    <w:name w:val="tekstpodstawowywcity31"/>
    <w:basedOn w:val="Normalny"/>
    <w:rsid w:val="007D7DA5"/>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pntekstpodstawowy">
    <w:name w:val="pntekstpodstawowy"/>
    <w:basedOn w:val="Normalny"/>
    <w:rsid w:val="007D7DA5"/>
    <w:pPr>
      <w:spacing w:before="100" w:beforeAutospacing="1" w:after="100" w:afterAutospacing="1"/>
      <w:jc w:val="left"/>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7D7DA5"/>
    <w:rPr>
      <w:b/>
      <w:bCs/>
    </w:rPr>
  </w:style>
  <w:style w:type="character" w:customStyle="1" w:styleId="UnresolvedMention">
    <w:name w:val="Unresolved Mention"/>
    <w:basedOn w:val="Domylnaczcionkaakapitu"/>
    <w:uiPriority w:val="99"/>
    <w:semiHidden/>
    <w:unhideWhenUsed/>
    <w:rsid w:val="00196DDD"/>
    <w:rPr>
      <w:color w:val="605E5C"/>
      <w:shd w:val="clear" w:color="auto" w:fill="E1DFDD"/>
    </w:rPr>
  </w:style>
  <w:style w:type="character" w:customStyle="1" w:styleId="WW8Num21z0">
    <w:name w:val="WW8Num21z0"/>
    <w:rsid w:val="00FD7B54"/>
    <w:rPr>
      <w:rFonts w:ascii="Symbol" w:hAnsi="Symbol" w:cs="StarSymbol"/>
      <w:sz w:val="18"/>
      <w:szCs w:val="18"/>
    </w:rPr>
  </w:style>
</w:styles>
</file>

<file path=word/webSettings.xml><?xml version="1.0" encoding="utf-8"?>
<w:webSettings xmlns:r="http://schemas.openxmlformats.org/officeDocument/2006/relationships" xmlns:w="http://schemas.openxmlformats.org/wordprocessingml/2006/main">
  <w:divs>
    <w:div w:id="12732263">
      <w:bodyDiv w:val="1"/>
      <w:marLeft w:val="0"/>
      <w:marRight w:val="0"/>
      <w:marTop w:val="0"/>
      <w:marBottom w:val="0"/>
      <w:divBdr>
        <w:top w:val="none" w:sz="0" w:space="0" w:color="auto"/>
        <w:left w:val="none" w:sz="0" w:space="0" w:color="auto"/>
        <w:bottom w:val="none" w:sz="0" w:space="0" w:color="auto"/>
        <w:right w:val="none" w:sz="0" w:space="0" w:color="auto"/>
      </w:divBdr>
    </w:div>
    <w:div w:id="20857775">
      <w:bodyDiv w:val="1"/>
      <w:marLeft w:val="0"/>
      <w:marRight w:val="0"/>
      <w:marTop w:val="0"/>
      <w:marBottom w:val="0"/>
      <w:divBdr>
        <w:top w:val="none" w:sz="0" w:space="0" w:color="auto"/>
        <w:left w:val="none" w:sz="0" w:space="0" w:color="auto"/>
        <w:bottom w:val="none" w:sz="0" w:space="0" w:color="auto"/>
        <w:right w:val="none" w:sz="0" w:space="0" w:color="auto"/>
      </w:divBdr>
    </w:div>
    <w:div w:id="22708181">
      <w:bodyDiv w:val="1"/>
      <w:marLeft w:val="0"/>
      <w:marRight w:val="0"/>
      <w:marTop w:val="0"/>
      <w:marBottom w:val="0"/>
      <w:divBdr>
        <w:top w:val="none" w:sz="0" w:space="0" w:color="auto"/>
        <w:left w:val="none" w:sz="0" w:space="0" w:color="auto"/>
        <w:bottom w:val="none" w:sz="0" w:space="0" w:color="auto"/>
        <w:right w:val="none" w:sz="0" w:space="0" w:color="auto"/>
      </w:divBdr>
    </w:div>
    <w:div w:id="52848169">
      <w:bodyDiv w:val="1"/>
      <w:marLeft w:val="0"/>
      <w:marRight w:val="0"/>
      <w:marTop w:val="0"/>
      <w:marBottom w:val="0"/>
      <w:divBdr>
        <w:top w:val="none" w:sz="0" w:space="0" w:color="auto"/>
        <w:left w:val="none" w:sz="0" w:space="0" w:color="auto"/>
        <w:bottom w:val="none" w:sz="0" w:space="0" w:color="auto"/>
        <w:right w:val="none" w:sz="0" w:space="0" w:color="auto"/>
      </w:divBdr>
    </w:div>
    <w:div w:id="94402290">
      <w:bodyDiv w:val="1"/>
      <w:marLeft w:val="0"/>
      <w:marRight w:val="0"/>
      <w:marTop w:val="0"/>
      <w:marBottom w:val="0"/>
      <w:divBdr>
        <w:top w:val="none" w:sz="0" w:space="0" w:color="auto"/>
        <w:left w:val="none" w:sz="0" w:space="0" w:color="auto"/>
        <w:bottom w:val="none" w:sz="0" w:space="0" w:color="auto"/>
        <w:right w:val="none" w:sz="0" w:space="0" w:color="auto"/>
      </w:divBdr>
    </w:div>
    <w:div w:id="104467070">
      <w:bodyDiv w:val="1"/>
      <w:marLeft w:val="0"/>
      <w:marRight w:val="0"/>
      <w:marTop w:val="0"/>
      <w:marBottom w:val="0"/>
      <w:divBdr>
        <w:top w:val="none" w:sz="0" w:space="0" w:color="auto"/>
        <w:left w:val="none" w:sz="0" w:space="0" w:color="auto"/>
        <w:bottom w:val="none" w:sz="0" w:space="0" w:color="auto"/>
        <w:right w:val="none" w:sz="0" w:space="0" w:color="auto"/>
      </w:divBdr>
    </w:div>
    <w:div w:id="143132836">
      <w:bodyDiv w:val="1"/>
      <w:marLeft w:val="0"/>
      <w:marRight w:val="0"/>
      <w:marTop w:val="0"/>
      <w:marBottom w:val="0"/>
      <w:divBdr>
        <w:top w:val="none" w:sz="0" w:space="0" w:color="auto"/>
        <w:left w:val="none" w:sz="0" w:space="0" w:color="auto"/>
        <w:bottom w:val="none" w:sz="0" w:space="0" w:color="auto"/>
        <w:right w:val="none" w:sz="0" w:space="0" w:color="auto"/>
      </w:divBdr>
    </w:div>
    <w:div w:id="146242455">
      <w:bodyDiv w:val="1"/>
      <w:marLeft w:val="0"/>
      <w:marRight w:val="0"/>
      <w:marTop w:val="0"/>
      <w:marBottom w:val="0"/>
      <w:divBdr>
        <w:top w:val="none" w:sz="0" w:space="0" w:color="auto"/>
        <w:left w:val="none" w:sz="0" w:space="0" w:color="auto"/>
        <w:bottom w:val="none" w:sz="0" w:space="0" w:color="auto"/>
        <w:right w:val="none" w:sz="0" w:space="0" w:color="auto"/>
      </w:divBdr>
    </w:div>
    <w:div w:id="233442864">
      <w:bodyDiv w:val="1"/>
      <w:marLeft w:val="0"/>
      <w:marRight w:val="0"/>
      <w:marTop w:val="0"/>
      <w:marBottom w:val="0"/>
      <w:divBdr>
        <w:top w:val="none" w:sz="0" w:space="0" w:color="auto"/>
        <w:left w:val="none" w:sz="0" w:space="0" w:color="auto"/>
        <w:bottom w:val="none" w:sz="0" w:space="0" w:color="auto"/>
        <w:right w:val="none" w:sz="0" w:space="0" w:color="auto"/>
      </w:divBdr>
    </w:div>
    <w:div w:id="253051142">
      <w:bodyDiv w:val="1"/>
      <w:marLeft w:val="0"/>
      <w:marRight w:val="0"/>
      <w:marTop w:val="0"/>
      <w:marBottom w:val="0"/>
      <w:divBdr>
        <w:top w:val="none" w:sz="0" w:space="0" w:color="auto"/>
        <w:left w:val="none" w:sz="0" w:space="0" w:color="auto"/>
        <w:bottom w:val="none" w:sz="0" w:space="0" w:color="auto"/>
        <w:right w:val="none" w:sz="0" w:space="0" w:color="auto"/>
      </w:divBdr>
    </w:div>
    <w:div w:id="255481574">
      <w:bodyDiv w:val="1"/>
      <w:marLeft w:val="0"/>
      <w:marRight w:val="0"/>
      <w:marTop w:val="0"/>
      <w:marBottom w:val="0"/>
      <w:divBdr>
        <w:top w:val="none" w:sz="0" w:space="0" w:color="auto"/>
        <w:left w:val="none" w:sz="0" w:space="0" w:color="auto"/>
        <w:bottom w:val="none" w:sz="0" w:space="0" w:color="auto"/>
        <w:right w:val="none" w:sz="0" w:space="0" w:color="auto"/>
      </w:divBdr>
    </w:div>
    <w:div w:id="308288468">
      <w:bodyDiv w:val="1"/>
      <w:marLeft w:val="0"/>
      <w:marRight w:val="0"/>
      <w:marTop w:val="0"/>
      <w:marBottom w:val="0"/>
      <w:divBdr>
        <w:top w:val="none" w:sz="0" w:space="0" w:color="auto"/>
        <w:left w:val="none" w:sz="0" w:space="0" w:color="auto"/>
        <w:bottom w:val="none" w:sz="0" w:space="0" w:color="auto"/>
        <w:right w:val="none" w:sz="0" w:space="0" w:color="auto"/>
      </w:divBdr>
    </w:div>
    <w:div w:id="318122567">
      <w:bodyDiv w:val="1"/>
      <w:marLeft w:val="0"/>
      <w:marRight w:val="0"/>
      <w:marTop w:val="0"/>
      <w:marBottom w:val="0"/>
      <w:divBdr>
        <w:top w:val="none" w:sz="0" w:space="0" w:color="auto"/>
        <w:left w:val="none" w:sz="0" w:space="0" w:color="auto"/>
        <w:bottom w:val="none" w:sz="0" w:space="0" w:color="auto"/>
        <w:right w:val="none" w:sz="0" w:space="0" w:color="auto"/>
      </w:divBdr>
    </w:div>
    <w:div w:id="319966468">
      <w:bodyDiv w:val="1"/>
      <w:marLeft w:val="0"/>
      <w:marRight w:val="0"/>
      <w:marTop w:val="0"/>
      <w:marBottom w:val="0"/>
      <w:divBdr>
        <w:top w:val="none" w:sz="0" w:space="0" w:color="auto"/>
        <w:left w:val="none" w:sz="0" w:space="0" w:color="auto"/>
        <w:bottom w:val="none" w:sz="0" w:space="0" w:color="auto"/>
        <w:right w:val="none" w:sz="0" w:space="0" w:color="auto"/>
      </w:divBdr>
    </w:div>
    <w:div w:id="321783350">
      <w:bodyDiv w:val="1"/>
      <w:marLeft w:val="0"/>
      <w:marRight w:val="0"/>
      <w:marTop w:val="0"/>
      <w:marBottom w:val="0"/>
      <w:divBdr>
        <w:top w:val="none" w:sz="0" w:space="0" w:color="auto"/>
        <w:left w:val="none" w:sz="0" w:space="0" w:color="auto"/>
        <w:bottom w:val="none" w:sz="0" w:space="0" w:color="auto"/>
        <w:right w:val="none" w:sz="0" w:space="0" w:color="auto"/>
      </w:divBdr>
    </w:div>
    <w:div w:id="327094523">
      <w:bodyDiv w:val="1"/>
      <w:marLeft w:val="0"/>
      <w:marRight w:val="0"/>
      <w:marTop w:val="0"/>
      <w:marBottom w:val="0"/>
      <w:divBdr>
        <w:top w:val="none" w:sz="0" w:space="0" w:color="auto"/>
        <w:left w:val="none" w:sz="0" w:space="0" w:color="auto"/>
        <w:bottom w:val="none" w:sz="0" w:space="0" w:color="auto"/>
        <w:right w:val="none" w:sz="0" w:space="0" w:color="auto"/>
      </w:divBdr>
    </w:div>
    <w:div w:id="336007566">
      <w:bodyDiv w:val="1"/>
      <w:marLeft w:val="0"/>
      <w:marRight w:val="0"/>
      <w:marTop w:val="0"/>
      <w:marBottom w:val="0"/>
      <w:divBdr>
        <w:top w:val="none" w:sz="0" w:space="0" w:color="auto"/>
        <w:left w:val="none" w:sz="0" w:space="0" w:color="auto"/>
        <w:bottom w:val="none" w:sz="0" w:space="0" w:color="auto"/>
        <w:right w:val="none" w:sz="0" w:space="0" w:color="auto"/>
      </w:divBdr>
    </w:div>
    <w:div w:id="340863815">
      <w:bodyDiv w:val="1"/>
      <w:marLeft w:val="0"/>
      <w:marRight w:val="0"/>
      <w:marTop w:val="0"/>
      <w:marBottom w:val="0"/>
      <w:divBdr>
        <w:top w:val="none" w:sz="0" w:space="0" w:color="auto"/>
        <w:left w:val="none" w:sz="0" w:space="0" w:color="auto"/>
        <w:bottom w:val="none" w:sz="0" w:space="0" w:color="auto"/>
        <w:right w:val="none" w:sz="0" w:space="0" w:color="auto"/>
      </w:divBdr>
    </w:div>
    <w:div w:id="341401523">
      <w:bodyDiv w:val="1"/>
      <w:marLeft w:val="0"/>
      <w:marRight w:val="0"/>
      <w:marTop w:val="0"/>
      <w:marBottom w:val="0"/>
      <w:divBdr>
        <w:top w:val="none" w:sz="0" w:space="0" w:color="auto"/>
        <w:left w:val="none" w:sz="0" w:space="0" w:color="auto"/>
        <w:bottom w:val="none" w:sz="0" w:space="0" w:color="auto"/>
        <w:right w:val="none" w:sz="0" w:space="0" w:color="auto"/>
      </w:divBdr>
    </w:div>
    <w:div w:id="366837472">
      <w:bodyDiv w:val="1"/>
      <w:marLeft w:val="0"/>
      <w:marRight w:val="0"/>
      <w:marTop w:val="0"/>
      <w:marBottom w:val="0"/>
      <w:divBdr>
        <w:top w:val="none" w:sz="0" w:space="0" w:color="auto"/>
        <w:left w:val="none" w:sz="0" w:space="0" w:color="auto"/>
        <w:bottom w:val="none" w:sz="0" w:space="0" w:color="auto"/>
        <w:right w:val="none" w:sz="0" w:space="0" w:color="auto"/>
      </w:divBdr>
    </w:div>
    <w:div w:id="385878933">
      <w:bodyDiv w:val="1"/>
      <w:marLeft w:val="0"/>
      <w:marRight w:val="0"/>
      <w:marTop w:val="0"/>
      <w:marBottom w:val="0"/>
      <w:divBdr>
        <w:top w:val="none" w:sz="0" w:space="0" w:color="auto"/>
        <w:left w:val="none" w:sz="0" w:space="0" w:color="auto"/>
        <w:bottom w:val="none" w:sz="0" w:space="0" w:color="auto"/>
        <w:right w:val="none" w:sz="0" w:space="0" w:color="auto"/>
      </w:divBdr>
    </w:div>
    <w:div w:id="432940145">
      <w:bodyDiv w:val="1"/>
      <w:marLeft w:val="0"/>
      <w:marRight w:val="0"/>
      <w:marTop w:val="0"/>
      <w:marBottom w:val="0"/>
      <w:divBdr>
        <w:top w:val="none" w:sz="0" w:space="0" w:color="auto"/>
        <w:left w:val="none" w:sz="0" w:space="0" w:color="auto"/>
        <w:bottom w:val="none" w:sz="0" w:space="0" w:color="auto"/>
        <w:right w:val="none" w:sz="0" w:space="0" w:color="auto"/>
      </w:divBdr>
    </w:div>
    <w:div w:id="465510583">
      <w:bodyDiv w:val="1"/>
      <w:marLeft w:val="0"/>
      <w:marRight w:val="0"/>
      <w:marTop w:val="0"/>
      <w:marBottom w:val="0"/>
      <w:divBdr>
        <w:top w:val="none" w:sz="0" w:space="0" w:color="auto"/>
        <w:left w:val="none" w:sz="0" w:space="0" w:color="auto"/>
        <w:bottom w:val="none" w:sz="0" w:space="0" w:color="auto"/>
        <w:right w:val="none" w:sz="0" w:space="0" w:color="auto"/>
      </w:divBdr>
    </w:div>
    <w:div w:id="533468456">
      <w:bodyDiv w:val="1"/>
      <w:marLeft w:val="0"/>
      <w:marRight w:val="0"/>
      <w:marTop w:val="0"/>
      <w:marBottom w:val="0"/>
      <w:divBdr>
        <w:top w:val="none" w:sz="0" w:space="0" w:color="auto"/>
        <w:left w:val="none" w:sz="0" w:space="0" w:color="auto"/>
        <w:bottom w:val="none" w:sz="0" w:space="0" w:color="auto"/>
        <w:right w:val="none" w:sz="0" w:space="0" w:color="auto"/>
      </w:divBdr>
    </w:div>
    <w:div w:id="536507148">
      <w:bodyDiv w:val="1"/>
      <w:marLeft w:val="0"/>
      <w:marRight w:val="0"/>
      <w:marTop w:val="0"/>
      <w:marBottom w:val="0"/>
      <w:divBdr>
        <w:top w:val="none" w:sz="0" w:space="0" w:color="auto"/>
        <w:left w:val="none" w:sz="0" w:space="0" w:color="auto"/>
        <w:bottom w:val="none" w:sz="0" w:space="0" w:color="auto"/>
        <w:right w:val="none" w:sz="0" w:space="0" w:color="auto"/>
      </w:divBdr>
    </w:div>
    <w:div w:id="613243940">
      <w:bodyDiv w:val="1"/>
      <w:marLeft w:val="0"/>
      <w:marRight w:val="0"/>
      <w:marTop w:val="0"/>
      <w:marBottom w:val="0"/>
      <w:divBdr>
        <w:top w:val="none" w:sz="0" w:space="0" w:color="auto"/>
        <w:left w:val="none" w:sz="0" w:space="0" w:color="auto"/>
        <w:bottom w:val="none" w:sz="0" w:space="0" w:color="auto"/>
        <w:right w:val="none" w:sz="0" w:space="0" w:color="auto"/>
      </w:divBdr>
    </w:div>
    <w:div w:id="623123465">
      <w:bodyDiv w:val="1"/>
      <w:marLeft w:val="0"/>
      <w:marRight w:val="0"/>
      <w:marTop w:val="0"/>
      <w:marBottom w:val="0"/>
      <w:divBdr>
        <w:top w:val="none" w:sz="0" w:space="0" w:color="auto"/>
        <w:left w:val="none" w:sz="0" w:space="0" w:color="auto"/>
        <w:bottom w:val="none" w:sz="0" w:space="0" w:color="auto"/>
        <w:right w:val="none" w:sz="0" w:space="0" w:color="auto"/>
      </w:divBdr>
    </w:div>
    <w:div w:id="626163517">
      <w:bodyDiv w:val="1"/>
      <w:marLeft w:val="0"/>
      <w:marRight w:val="0"/>
      <w:marTop w:val="0"/>
      <w:marBottom w:val="0"/>
      <w:divBdr>
        <w:top w:val="none" w:sz="0" w:space="0" w:color="auto"/>
        <w:left w:val="none" w:sz="0" w:space="0" w:color="auto"/>
        <w:bottom w:val="none" w:sz="0" w:space="0" w:color="auto"/>
        <w:right w:val="none" w:sz="0" w:space="0" w:color="auto"/>
      </w:divBdr>
    </w:div>
    <w:div w:id="640430318">
      <w:bodyDiv w:val="1"/>
      <w:marLeft w:val="0"/>
      <w:marRight w:val="0"/>
      <w:marTop w:val="0"/>
      <w:marBottom w:val="0"/>
      <w:divBdr>
        <w:top w:val="none" w:sz="0" w:space="0" w:color="auto"/>
        <w:left w:val="none" w:sz="0" w:space="0" w:color="auto"/>
        <w:bottom w:val="none" w:sz="0" w:space="0" w:color="auto"/>
        <w:right w:val="none" w:sz="0" w:space="0" w:color="auto"/>
      </w:divBdr>
    </w:div>
    <w:div w:id="642655698">
      <w:bodyDiv w:val="1"/>
      <w:marLeft w:val="0"/>
      <w:marRight w:val="0"/>
      <w:marTop w:val="0"/>
      <w:marBottom w:val="0"/>
      <w:divBdr>
        <w:top w:val="none" w:sz="0" w:space="0" w:color="auto"/>
        <w:left w:val="none" w:sz="0" w:space="0" w:color="auto"/>
        <w:bottom w:val="none" w:sz="0" w:space="0" w:color="auto"/>
        <w:right w:val="none" w:sz="0" w:space="0" w:color="auto"/>
      </w:divBdr>
    </w:div>
    <w:div w:id="657466647">
      <w:bodyDiv w:val="1"/>
      <w:marLeft w:val="0"/>
      <w:marRight w:val="0"/>
      <w:marTop w:val="0"/>
      <w:marBottom w:val="0"/>
      <w:divBdr>
        <w:top w:val="none" w:sz="0" w:space="0" w:color="auto"/>
        <w:left w:val="none" w:sz="0" w:space="0" w:color="auto"/>
        <w:bottom w:val="none" w:sz="0" w:space="0" w:color="auto"/>
        <w:right w:val="none" w:sz="0" w:space="0" w:color="auto"/>
      </w:divBdr>
    </w:div>
    <w:div w:id="683480072">
      <w:bodyDiv w:val="1"/>
      <w:marLeft w:val="0"/>
      <w:marRight w:val="0"/>
      <w:marTop w:val="0"/>
      <w:marBottom w:val="0"/>
      <w:divBdr>
        <w:top w:val="none" w:sz="0" w:space="0" w:color="auto"/>
        <w:left w:val="none" w:sz="0" w:space="0" w:color="auto"/>
        <w:bottom w:val="none" w:sz="0" w:space="0" w:color="auto"/>
        <w:right w:val="none" w:sz="0" w:space="0" w:color="auto"/>
      </w:divBdr>
    </w:div>
    <w:div w:id="719132823">
      <w:bodyDiv w:val="1"/>
      <w:marLeft w:val="0"/>
      <w:marRight w:val="0"/>
      <w:marTop w:val="0"/>
      <w:marBottom w:val="0"/>
      <w:divBdr>
        <w:top w:val="none" w:sz="0" w:space="0" w:color="auto"/>
        <w:left w:val="none" w:sz="0" w:space="0" w:color="auto"/>
        <w:bottom w:val="none" w:sz="0" w:space="0" w:color="auto"/>
        <w:right w:val="none" w:sz="0" w:space="0" w:color="auto"/>
      </w:divBdr>
    </w:div>
    <w:div w:id="724062330">
      <w:bodyDiv w:val="1"/>
      <w:marLeft w:val="0"/>
      <w:marRight w:val="0"/>
      <w:marTop w:val="0"/>
      <w:marBottom w:val="0"/>
      <w:divBdr>
        <w:top w:val="none" w:sz="0" w:space="0" w:color="auto"/>
        <w:left w:val="none" w:sz="0" w:space="0" w:color="auto"/>
        <w:bottom w:val="none" w:sz="0" w:space="0" w:color="auto"/>
        <w:right w:val="none" w:sz="0" w:space="0" w:color="auto"/>
      </w:divBdr>
    </w:div>
    <w:div w:id="752896022">
      <w:bodyDiv w:val="1"/>
      <w:marLeft w:val="0"/>
      <w:marRight w:val="0"/>
      <w:marTop w:val="0"/>
      <w:marBottom w:val="0"/>
      <w:divBdr>
        <w:top w:val="none" w:sz="0" w:space="0" w:color="auto"/>
        <w:left w:val="none" w:sz="0" w:space="0" w:color="auto"/>
        <w:bottom w:val="none" w:sz="0" w:space="0" w:color="auto"/>
        <w:right w:val="none" w:sz="0" w:space="0" w:color="auto"/>
      </w:divBdr>
    </w:div>
    <w:div w:id="856386218">
      <w:bodyDiv w:val="1"/>
      <w:marLeft w:val="0"/>
      <w:marRight w:val="0"/>
      <w:marTop w:val="0"/>
      <w:marBottom w:val="0"/>
      <w:divBdr>
        <w:top w:val="none" w:sz="0" w:space="0" w:color="auto"/>
        <w:left w:val="none" w:sz="0" w:space="0" w:color="auto"/>
        <w:bottom w:val="none" w:sz="0" w:space="0" w:color="auto"/>
        <w:right w:val="none" w:sz="0" w:space="0" w:color="auto"/>
      </w:divBdr>
    </w:div>
    <w:div w:id="868377098">
      <w:bodyDiv w:val="1"/>
      <w:marLeft w:val="0"/>
      <w:marRight w:val="0"/>
      <w:marTop w:val="0"/>
      <w:marBottom w:val="0"/>
      <w:divBdr>
        <w:top w:val="none" w:sz="0" w:space="0" w:color="auto"/>
        <w:left w:val="none" w:sz="0" w:space="0" w:color="auto"/>
        <w:bottom w:val="none" w:sz="0" w:space="0" w:color="auto"/>
        <w:right w:val="none" w:sz="0" w:space="0" w:color="auto"/>
      </w:divBdr>
    </w:div>
    <w:div w:id="917325877">
      <w:bodyDiv w:val="1"/>
      <w:marLeft w:val="0"/>
      <w:marRight w:val="0"/>
      <w:marTop w:val="0"/>
      <w:marBottom w:val="0"/>
      <w:divBdr>
        <w:top w:val="none" w:sz="0" w:space="0" w:color="auto"/>
        <w:left w:val="none" w:sz="0" w:space="0" w:color="auto"/>
        <w:bottom w:val="none" w:sz="0" w:space="0" w:color="auto"/>
        <w:right w:val="none" w:sz="0" w:space="0" w:color="auto"/>
      </w:divBdr>
    </w:div>
    <w:div w:id="918291096">
      <w:bodyDiv w:val="1"/>
      <w:marLeft w:val="0"/>
      <w:marRight w:val="0"/>
      <w:marTop w:val="0"/>
      <w:marBottom w:val="0"/>
      <w:divBdr>
        <w:top w:val="none" w:sz="0" w:space="0" w:color="auto"/>
        <w:left w:val="none" w:sz="0" w:space="0" w:color="auto"/>
        <w:bottom w:val="none" w:sz="0" w:space="0" w:color="auto"/>
        <w:right w:val="none" w:sz="0" w:space="0" w:color="auto"/>
      </w:divBdr>
    </w:div>
    <w:div w:id="946811202">
      <w:bodyDiv w:val="1"/>
      <w:marLeft w:val="0"/>
      <w:marRight w:val="0"/>
      <w:marTop w:val="0"/>
      <w:marBottom w:val="0"/>
      <w:divBdr>
        <w:top w:val="none" w:sz="0" w:space="0" w:color="auto"/>
        <w:left w:val="none" w:sz="0" w:space="0" w:color="auto"/>
        <w:bottom w:val="none" w:sz="0" w:space="0" w:color="auto"/>
        <w:right w:val="none" w:sz="0" w:space="0" w:color="auto"/>
      </w:divBdr>
    </w:div>
    <w:div w:id="946962385">
      <w:bodyDiv w:val="1"/>
      <w:marLeft w:val="0"/>
      <w:marRight w:val="0"/>
      <w:marTop w:val="0"/>
      <w:marBottom w:val="0"/>
      <w:divBdr>
        <w:top w:val="none" w:sz="0" w:space="0" w:color="auto"/>
        <w:left w:val="none" w:sz="0" w:space="0" w:color="auto"/>
        <w:bottom w:val="none" w:sz="0" w:space="0" w:color="auto"/>
        <w:right w:val="none" w:sz="0" w:space="0" w:color="auto"/>
      </w:divBdr>
    </w:div>
    <w:div w:id="969170487">
      <w:bodyDiv w:val="1"/>
      <w:marLeft w:val="0"/>
      <w:marRight w:val="0"/>
      <w:marTop w:val="0"/>
      <w:marBottom w:val="0"/>
      <w:divBdr>
        <w:top w:val="none" w:sz="0" w:space="0" w:color="auto"/>
        <w:left w:val="none" w:sz="0" w:space="0" w:color="auto"/>
        <w:bottom w:val="none" w:sz="0" w:space="0" w:color="auto"/>
        <w:right w:val="none" w:sz="0" w:space="0" w:color="auto"/>
      </w:divBdr>
    </w:div>
    <w:div w:id="983702054">
      <w:bodyDiv w:val="1"/>
      <w:marLeft w:val="0"/>
      <w:marRight w:val="0"/>
      <w:marTop w:val="0"/>
      <w:marBottom w:val="0"/>
      <w:divBdr>
        <w:top w:val="none" w:sz="0" w:space="0" w:color="auto"/>
        <w:left w:val="none" w:sz="0" w:space="0" w:color="auto"/>
        <w:bottom w:val="none" w:sz="0" w:space="0" w:color="auto"/>
        <w:right w:val="none" w:sz="0" w:space="0" w:color="auto"/>
      </w:divBdr>
    </w:div>
    <w:div w:id="984043518">
      <w:bodyDiv w:val="1"/>
      <w:marLeft w:val="0"/>
      <w:marRight w:val="0"/>
      <w:marTop w:val="0"/>
      <w:marBottom w:val="0"/>
      <w:divBdr>
        <w:top w:val="none" w:sz="0" w:space="0" w:color="auto"/>
        <w:left w:val="none" w:sz="0" w:space="0" w:color="auto"/>
        <w:bottom w:val="none" w:sz="0" w:space="0" w:color="auto"/>
        <w:right w:val="none" w:sz="0" w:space="0" w:color="auto"/>
      </w:divBdr>
    </w:div>
    <w:div w:id="995569622">
      <w:bodyDiv w:val="1"/>
      <w:marLeft w:val="0"/>
      <w:marRight w:val="0"/>
      <w:marTop w:val="0"/>
      <w:marBottom w:val="0"/>
      <w:divBdr>
        <w:top w:val="none" w:sz="0" w:space="0" w:color="auto"/>
        <w:left w:val="none" w:sz="0" w:space="0" w:color="auto"/>
        <w:bottom w:val="none" w:sz="0" w:space="0" w:color="auto"/>
        <w:right w:val="none" w:sz="0" w:space="0" w:color="auto"/>
      </w:divBdr>
    </w:div>
    <w:div w:id="1002854198">
      <w:bodyDiv w:val="1"/>
      <w:marLeft w:val="0"/>
      <w:marRight w:val="0"/>
      <w:marTop w:val="0"/>
      <w:marBottom w:val="0"/>
      <w:divBdr>
        <w:top w:val="none" w:sz="0" w:space="0" w:color="auto"/>
        <w:left w:val="none" w:sz="0" w:space="0" w:color="auto"/>
        <w:bottom w:val="none" w:sz="0" w:space="0" w:color="auto"/>
        <w:right w:val="none" w:sz="0" w:space="0" w:color="auto"/>
      </w:divBdr>
    </w:div>
    <w:div w:id="1017731430">
      <w:bodyDiv w:val="1"/>
      <w:marLeft w:val="0"/>
      <w:marRight w:val="0"/>
      <w:marTop w:val="0"/>
      <w:marBottom w:val="0"/>
      <w:divBdr>
        <w:top w:val="none" w:sz="0" w:space="0" w:color="auto"/>
        <w:left w:val="none" w:sz="0" w:space="0" w:color="auto"/>
        <w:bottom w:val="none" w:sz="0" w:space="0" w:color="auto"/>
        <w:right w:val="none" w:sz="0" w:space="0" w:color="auto"/>
      </w:divBdr>
    </w:div>
    <w:div w:id="1068307337">
      <w:bodyDiv w:val="1"/>
      <w:marLeft w:val="0"/>
      <w:marRight w:val="0"/>
      <w:marTop w:val="0"/>
      <w:marBottom w:val="0"/>
      <w:divBdr>
        <w:top w:val="none" w:sz="0" w:space="0" w:color="auto"/>
        <w:left w:val="none" w:sz="0" w:space="0" w:color="auto"/>
        <w:bottom w:val="none" w:sz="0" w:space="0" w:color="auto"/>
        <w:right w:val="none" w:sz="0" w:space="0" w:color="auto"/>
      </w:divBdr>
    </w:div>
    <w:div w:id="1074742880">
      <w:bodyDiv w:val="1"/>
      <w:marLeft w:val="0"/>
      <w:marRight w:val="0"/>
      <w:marTop w:val="0"/>
      <w:marBottom w:val="0"/>
      <w:divBdr>
        <w:top w:val="none" w:sz="0" w:space="0" w:color="auto"/>
        <w:left w:val="none" w:sz="0" w:space="0" w:color="auto"/>
        <w:bottom w:val="none" w:sz="0" w:space="0" w:color="auto"/>
        <w:right w:val="none" w:sz="0" w:space="0" w:color="auto"/>
      </w:divBdr>
    </w:div>
    <w:div w:id="1096096777">
      <w:bodyDiv w:val="1"/>
      <w:marLeft w:val="0"/>
      <w:marRight w:val="0"/>
      <w:marTop w:val="0"/>
      <w:marBottom w:val="0"/>
      <w:divBdr>
        <w:top w:val="none" w:sz="0" w:space="0" w:color="auto"/>
        <w:left w:val="none" w:sz="0" w:space="0" w:color="auto"/>
        <w:bottom w:val="none" w:sz="0" w:space="0" w:color="auto"/>
        <w:right w:val="none" w:sz="0" w:space="0" w:color="auto"/>
      </w:divBdr>
    </w:div>
    <w:div w:id="1119104631">
      <w:bodyDiv w:val="1"/>
      <w:marLeft w:val="0"/>
      <w:marRight w:val="0"/>
      <w:marTop w:val="0"/>
      <w:marBottom w:val="0"/>
      <w:divBdr>
        <w:top w:val="none" w:sz="0" w:space="0" w:color="auto"/>
        <w:left w:val="none" w:sz="0" w:space="0" w:color="auto"/>
        <w:bottom w:val="none" w:sz="0" w:space="0" w:color="auto"/>
        <w:right w:val="none" w:sz="0" w:space="0" w:color="auto"/>
      </w:divBdr>
    </w:div>
    <w:div w:id="1147937389">
      <w:bodyDiv w:val="1"/>
      <w:marLeft w:val="0"/>
      <w:marRight w:val="0"/>
      <w:marTop w:val="0"/>
      <w:marBottom w:val="0"/>
      <w:divBdr>
        <w:top w:val="none" w:sz="0" w:space="0" w:color="auto"/>
        <w:left w:val="none" w:sz="0" w:space="0" w:color="auto"/>
        <w:bottom w:val="none" w:sz="0" w:space="0" w:color="auto"/>
        <w:right w:val="none" w:sz="0" w:space="0" w:color="auto"/>
      </w:divBdr>
    </w:div>
    <w:div w:id="1150757317">
      <w:bodyDiv w:val="1"/>
      <w:marLeft w:val="0"/>
      <w:marRight w:val="0"/>
      <w:marTop w:val="0"/>
      <w:marBottom w:val="0"/>
      <w:divBdr>
        <w:top w:val="none" w:sz="0" w:space="0" w:color="auto"/>
        <w:left w:val="none" w:sz="0" w:space="0" w:color="auto"/>
        <w:bottom w:val="none" w:sz="0" w:space="0" w:color="auto"/>
        <w:right w:val="none" w:sz="0" w:space="0" w:color="auto"/>
      </w:divBdr>
    </w:div>
    <w:div w:id="1184978596">
      <w:bodyDiv w:val="1"/>
      <w:marLeft w:val="0"/>
      <w:marRight w:val="0"/>
      <w:marTop w:val="0"/>
      <w:marBottom w:val="0"/>
      <w:divBdr>
        <w:top w:val="none" w:sz="0" w:space="0" w:color="auto"/>
        <w:left w:val="none" w:sz="0" w:space="0" w:color="auto"/>
        <w:bottom w:val="none" w:sz="0" w:space="0" w:color="auto"/>
        <w:right w:val="none" w:sz="0" w:space="0" w:color="auto"/>
      </w:divBdr>
    </w:div>
    <w:div w:id="1218666320">
      <w:bodyDiv w:val="1"/>
      <w:marLeft w:val="0"/>
      <w:marRight w:val="0"/>
      <w:marTop w:val="0"/>
      <w:marBottom w:val="0"/>
      <w:divBdr>
        <w:top w:val="none" w:sz="0" w:space="0" w:color="auto"/>
        <w:left w:val="none" w:sz="0" w:space="0" w:color="auto"/>
        <w:bottom w:val="none" w:sz="0" w:space="0" w:color="auto"/>
        <w:right w:val="none" w:sz="0" w:space="0" w:color="auto"/>
      </w:divBdr>
    </w:div>
    <w:div w:id="1261836192">
      <w:bodyDiv w:val="1"/>
      <w:marLeft w:val="0"/>
      <w:marRight w:val="0"/>
      <w:marTop w:val="0"/>
      <w:marBottom w:val="0"/>
      <w:divBdr>
        <w:top w:val="none" w:sz="0" w:space="0" w:color="auto"/>
        <w:left w:val="none" w:sz="0" w:space="0" w:color="auto"/>
        <w:bottom w:val="none" w:sz="0" w:space="0" w:color="auto"/>
        <w:right w:val="none" w:sz="0" w:space="0" w:color="auto"/>
      </w:divBdr>
    </w:div>
    <w:div w:id="1286697414">
      <w:bodyDiv w:val="1"/>
      <w:marLeft w:val="0"/>
      <w:marRight w:val="0"/>
      <w:marTop w:val="0"/>
      <w:marBottom w:val="0"/>
      <w:divBdr>
        <w:top w:val="none" w:sz="0" w:space="0" w:color="auto"/>
        <w:left w:val="none" w:sz="0" w:space="0" w:color="auto"/>
        <w:bottom w:val="none" w:sz="0" w:space="0" w:color="auto"/>
        <w:right w:val="none" w:sz="0" w:space="0" w:color="auto"/>
      </w:divBdr>
    </w:div>
    <w:div w:id="1295333170">
      <w:bodyDiv w:val="1"/>
      <w:marLeft w:val="0"/>
      <w:marRight w:val="0"/>
      <w:marTop w:val="0"/>
      <w:marBottom w:val="0"/>
      <w:divBdr>
        <w:top w:val="none" w:sz="0" w:space="0" w:color="auto"/>
        <w:left w:val="none" w:sz="0" w:space="0" w:color="auto"/>
        <w:bottom w:val="none" w:sz="0" w:space="0" w:color="auto"/>
        <w:right w:val="none" w:sz="0" w:space="0" w:color="auto"/>
      </w:divBdr>
    </w:div>
    <w:div w:id="1335572000">
      <w:bodyDiv w:val="1"/>
      <w:marLeft w:val="0"/>
      <w:marRight w:val="0"/>
      <w:marTop w:val="0"/>
      <w:marBottom w:val="0"/>
      <w:divBdr>
        <w:top w:val="none" w:sz="0" w:space="0" w:color="auto"/>
        <w:left w:val="none" w:sz="0" w:space="0" w:color="auto"/>
        <w:bottom w:val="none" w:sz="0" w:space="0" w:color="auto"/>
        <w:right w:val="none" w:sz="0" w:space="0" w:color="auto"/>
      </w:divBdr>
    </w:div>
    <w:div w:id="1412266183">
      <w:bodyDiv w:val="1"/>
      <w:marLeft w:val="0"/>
      <w:marRight w:val="0"/>
      <w:marTop w:val="0"/>
      <w:marBottom w:val="0"/>
      <w:divBdr>
        <w:top w:val="none" w:sz="0" w:space="0" w:color="auto"/>
        <w:left w:val="none" w:sz="0" w:space="0" w:color="auto"/>
        <w:bottom w:val="none" w:sz="0" w:space="0" w:color="auto"/>
        <w:right w:val="none" w:sz="0" w:space="0" w:color="auto"/>
      </w:divBdr>
    </w:div>
    <w:div w:id="1428690421">
      <w:bodyDiv w:val="1"/>
      <w:marLeft w:val="0"/>
      <w:marRight w:val="0"/>
      <w:marTop w:val="0"/>
      <w:marBottom w:val="0"/>
      <w:divBdr>
        <w:top w:val="none" w:sz="0" w:space="0" w:color="auto"/>
        <w:left w:val="none" w:sz="0" w:space="0" w:color="auto"/>
        <w:bottom w:val="none" w:sz="0" w:space="0" w:color="auto"/>
        <w:right w:val="none" w:sz="0" w:space="0" w:color="auto"/>
      </w:divBdr>
    </w:div>
    <w:div w:id="1468820648">
      <w:bodyDiv w:val="1"/>
      <w:marLeft w:val="0"/>
      <w:marRight w:val="0"/>
      <w:marTop w:val="0"/>
      <w:marBottom w:val="0"/>
      <w:divBdr>
        <w:top w:val="none" w:sz="0" w:space="0" w:color="auto"/>
        <w:left w:val="none" w:sz="0" w:space="0" w:color="auto"/>
        <w:bottom w:val="none" w:sz="0" w:space="0" w:color="auto"/>
        <w:right w:val="none" w:sz="0" w:space="0" w:color="auto"/>
      </w:divBdr>
    </w:div>
    <w:div w:id="1551989666">
      <w:bodyDiv w:val="1"/>
      <w:marLeft w:val="0"/>
      <w:marRight w:val="0"/>
      <w:marTop w:val="0"/>
      <w:marBottom w:val="0"/>
      <w:divBdr>
        <w:top w:val="none" w:sz="0" w:space="0" w:color="auto"/>
        <w:left w:val="none" w:sz="0" w:space="0" w:color="auto"/>
        <w:bottom w:val="none" w:sz="0" w:space="0" w:color="auto"/>
        <w:right w:val="none" w:sz="0" w:space="0" w:color="auto"/>
      </w:divBdr>
    </w:div>
    <w:div w:id="1558859939">
      <w:bodyDiv w:val="1"/>
      <w:marLeft w:val="0"/>
      <w:marRight w:val="0"/>
      <w:marTop w:val="0"/>
      <w:marBottom w:val="0"/>
      <w:divBdr>
        <w:top w:val="none" w:sz="0" w:space="0" w:color="auto"/>
        <w:left w:val="none" w:sz="0" w:space="0" w:color="auto"/>
        <w:bottom w:val="none" w:sz="0" w:space="0" w:color="auto"/>
        <w:right w:val="none" w:sz="0" w:space="0" w:color="auto"/>
      </w:divBdr>
    </w:div>
    <w:div w:id="1566141793">
      <w:bodyDiv w:val="1"/>
      <w:marLeft w:val="0"/>
      <w:marRight w:val="0"/>
      <w:marTop w:val="0"/>
      <w:marBottom w:val="0"/>
      <w:divBdr>
        <w:top w:val="none" w:sz="0" w:space="0" w:color="auto"/>
        <w:left w:val="none" w:sz="0" w:space="0" w:color="auto"/>
        <w:bottom w:val="none" w:sz="0" w:space="0" w:color="auto"/>
        <w:right w:val="none" w:sz="0" w:space="0" w:color="auto"/>
      </w:divBdr>
    </w:div>
    <w:div w:id="1581595988">
      <w:bodyDiv w:val="1"/>
      <w:marLeft w:val="0"/>
      <w:marRight w:val="0"/>
      <w:marTop w:val="0"/>
      <w:marBottom w:val="0"/>
      <w:divBdr>
        <w:top w:val="none" w:sz="0" w:space="0" w:color="auto"/>
        <w:left w:val="none" w:sz="0" w:space="0" w:color="auto"/>
        <w:bottom w:val="none" w:sz="0" w:space="0" w:color="auto"/>
        <w:right w:val="none" w:sz="0" w:space="0" w:color="auto"/>
      </w:divBdr>
    </w:div>
    <w:div w:id="1598826786">
      <w:bodyDiv w:val="1"/>
      <w:marLeft w:val="0"/>
      <w:marRight w:val="0"/>
      <w:marTop w:val="0"/>
      <w:marBottom w:val="0"/>
      <w:divBdr>
        <w:top w:val="none" w:sz="0" w:space="0" w:color="auto"/>
        <w:left w:val="none" w:sz="0" w:space="0" w:color="auto"/>
        <w:bottom w:val="none" w:sz="0" w:space="0" w:color="auto"/>
        <w:right w:val="none" w:sz="0" w:space="0" w:color="auto"/>
      </w:divBdr>
    </w:div>
    <w:div w:id="1637878195">
      <w:bodyDiv w:val="1"/>
      <w:marLeft w:val="0"/>
      <w:marRight w:val="0"/>
      <w:marTop w:val="0"/>
      <w:marBottom w:val="0"/>
      <w:divBdr>
        <w:top w:val="none" w:sz="0" w:space="0" w:color="auto"/>
        <w:left w:val="none" w:sz="0" w:space="0" w:color="auto"/>
        <w:bottom w:val="none" w:sz="0" w:space="0" w:color="auto"/>
        <w:right w:val="none" w:sz="0" w:space="0" w:color="auto"/>
      </w:divBdr>
    </w:div>
    <w:div w:id="1659843307">
      <w:bodyDiv w:val="1"/>
      <w:marLeft w:val="0"/>
      <w:marRight w:val="0"/>
      <w:marTop w:val="0"/>
      <w:marBottom w:val="0"/>
      <w:divBdr>
        <w:top w:val="none" w:sz="0" w:space="0" w:color="auto"/>
        <w:left w:val="none" w:sz="0" w:space="0" w:color="auto"/>
        <w:bottom w:val="none" w:sz="0" w:space="0" w:color="auto"/>
        <w:right w:val="none" w:sz="0" w:space="0" w:color="auto"/>
      </w:divBdr>
    </w:div>
    <w:div w:id="1691567547">
      <w:bodyDiv w:val="1"/>
      <w:marLeft w:val="0"/>
      <w:marRight w:val="0"/>
      <w:marTop w:val="0"/>
      <w:marBottom w:val="0"/>
      <w:divBdr>
        <w:top w:val="none" w:sz="0" w:space="0" w:color="auto"/>
        <w:left w:val="none" w:sz="0" w:space="0" w:color="auto"/>
        <w:bottom w:val="none" w:sz="0" w:space="0" w:color="auto"/>
        <w:right w:val="none" w:sz="0" w:space="0" w:color="auto"/>
      </w:divBdr>
    </w:div>
    <w:div w:id="1709455089">
      <w:bodyDiv w:val="1"/>
      <w:marLeft w:val="0"/>
      <w:marRight w:val="0"/>
      <w:marTop w:val="0"/>
      <w:marBottom w:val="0"/>
      <w:divBdr>
        <w:top w:val="none" w:sz="0" w:space="0" w:color="auto"/>
        <w:left w:val="none" w:sz="0" w:space="0" w:color="auto"/>
        <w:bottom w:val="none" w:sz="0" w:space="0" w:color="auto"/>
        <w:right w:val="none" w:sz="0" w:space="0" w:color="auto"/>
      </w:divBdr>
    </w:div>
    <w:div w:id="1720662476">
      <w:bodyDiv w:val="1"/>
      <w:marLeft w:val="0"/>
      <w:marRight w:val="0"/>
      <w:marTop w:val="0"/>
      <w:marBottom w:val="0"/>
      <w:divBdr>
        <w:top w:val="none" w:sz="0" w:space="0" w:color="auto"/>
        <w:left w:val="none" w:sz="0" w:space="0" w:color="auto"/>
        <w:bottom w:val="none" w:sz="0" w:space="0" w:color="auto"/>
        <w:right w:val="none" w:sz="0" w:space="0" w:color="auto"/>
      </w:divBdr>
    </w:div>
    <w:div w:id="1721707884">
      <w:bodyDiv w:val="1"/>
      <w:marLeft w:val="0"/>
      <w:marRight w:val="0"/>
      <w:marTop w:val="0"/>
      <w:marBottom w:val="0"/>
      <w:divBdr>
        <w:top w:val="none" w:sz="0" w:space="0" w:color="auto"/>
        <w:left w:val="none" w:sz="0" w:space="0" w:color="auto"/>
        <w:bottom w:val="none" w:sz="0" w:space="0" w:color="auto"/>
        <w:right w:val="none" w:sz="0" w:space="0" w:color="auto"/>
      </w:divBdr>
    </w:div>
    <w:div w:id="1751582910">
      <w:bodyDiv w:val="1"/>
      <w:marLeft w:val="0"/>
      <w:marRight w:val="0"/>
      <w:marTop w:val="0"/>
      <w:marBottom w:val="0"/>
      <w:divBdr>
        <w:top w:val="none" w:sz="0" w:space="0" w:color="auto"/>
        <w:left w:val="none" w:sz="0" w:space="0" w:color="auto"/>
        <w:bottom w:val="none" w:sz="0" w:space="0" w:color="auto"/>
        <w:right w:val="none" w:sz="0" w:space="0" w:color="auto"/>
      </w:divBdr>
    </w:div>
    <w:div w:id="1766269789">
      <w:bodyDiv w:val="1"/>
      <w:marLeft w:val="0"/>
      <w:marRight w:val="0"/>
      <w:marTop w:val="0"/>
      <w:marBottom w:val="0"/>
      <w:divBdr>
        <w:top w:val="none" w:sz="0" w:space="0" w:color="auto"/>
        <w:left w:val="none" w:sz="0" w:space="0" w:color="auto"/>
        <w:bottom w:val="none" w:sz="0" w:space="0" w:color="auto"/>
        <w:right w:val="none" w:sz="0" w:space="0" w:color="auto"/>
      </w:divBdr>
    </w:div>
    <w:div w:id="1766917813">
      <w:bodyDiv w:val="1"/>
      <w:marLeft w:val="0"/>
      <w:marRight w:val="0"/>
      <w:marTop w:val="0"/>
      <w:marBottom w:val="0"/>
      <w:divBdr>
        <w:top w:val="none" w:sz="0" w:space="0" w:color="auto"/>
        <w:left w:val="none" w:sz="0" w:space="0" w:color="auto"/>
        <w:bottom w:val="none" w:sz="0" w:space="0" w:color="auto"/>
        <w:right w:val="none" w:sz="0" w:space="0" w:color="auto"/>
      </w:divBdr>
    </w:div>
    <w:div w:id="1790583481">
      <w:bodyDiv w:val="1"/>
      <w:marLeft w:val="0"/>
      <w:marRight w:val="0"/>
      <w:marTop w:val="0"/>
      <w:marBottom w:val="0"/>
      <w:divBdr>
        <w:top w:val="none" w:sz="0" w:space="0" w:color="auto"/>
        <w:left w:val="none" w:sz="0" w:space="0" w:color="auto"/>
        <w:bottom w:val="none" w:sz="0" w:space="0" w:color="auto"/>
        <w:right w:val="none" w:sz="0" w:space="0" w:color="auto"/>
      </w:divBdr>
    </w:div>
    <w:div w:id="1798406052">
      <w:bodyDiv w:val="1"/>
      <w:marLeft w:val="0"/>
      <w:marRight w:val="0"/>
      <w:marTop w:val="0"/>
      <w:marBottom w:val="0"/>
      <w:divBdr>
        <w:top w:val="none" w:sz="0" w:space="0" w:color="auto"/>
        <w:left w:val="none" w:sz="0" w:space="0" w:color="auto"/>
        <w:bottom w:val="none" w:sz="0" w:space="0" w:color="auto"/>
        <w:right w:val="none" w:sz="0" w:space="0" w:color="auto"/>
      </w:divBdr>
    </w:div>
    <w:div w:id="1874923863">
      <w:bodyDiv w:val="1"/>
      <w:marLeft w:val="0"/>
      <w:marRight w:val="0"/>
      <w:marTop w:val="0"/>
      <w:marBottom w:val="0"/>
      <w:divBdr>
        <w:top w:val="none" w:sz="0" w:space="0" w:color="auto"/>
        <w:left w:val="none" w:sz="0" w:space="0" w:color="auto"/>
        <w:bottom w:val="none" w:sz="0" w:space="0" w:color="auto"/>
        <w:right w:val="none" w:sz="0" w:space="0" w:color="auto"/>
      </w:divBdr>
    </w:div>
    <w:div w:id="1882593374">
      <w:bodyDiv w:val="1"/>
      <w:marLeft w:val="0"/>
      <w:marRight w:val="0"/>
      <w:marTop w:val="0"/>
      <w:marBottom w:val="0"/>
      <w:divBdr>
        <w:top w:val="none" w:sz="0" w:space="0" w:color="auto"/>
        <w:left w:val="none" w:sz="0" w:space="0" w:color="auto"/>
        <w:bottom w:val="none" w:sz="0" w:space="0" w:color="auto"/>
        <w:right w:val="none" w:sz="0" w:space="0" w:color="auto"/>
      </w:divBdr>
    </w:div>
    <w:div w:id="1894343753">
      <w:bodyDiv w:val="1"/>
      <w:marLeft w:val="0"/>
      <w:marRight w:val="0"/>
      <w:marTop w:val="0"/>
      <w:marBottom w:val="0"/>
      <w:divBdr>
        <w:top w:val="none" w:sz="0" w:space="0" w:color="auto"/>
        <w:left w:val="none" w:sz="0" w:space="0" w:color="auto"/>
        <w:bottom w:val="none" w:sz="0" w:space="0" w:color="auto"/>
        <w:right w:val="none" w:sz="0" w:space="0" w:color="auto"/>
      </w:divBdr>
    </w:div>
    <w:div w:id="1935548846">
      <w:bodyDiv w:val="1"/>
      <w:marLeft w:val="0"/>
      <w:marRight w:val="0"/>
      <w:marTop w:val="0"/>
      <w:marBottom w:val="0"/>
      <w:divBdr>
        <w:top w:val="none" w:sz="0" w:space="0" w:color="auto"/>
        <w:left w:val="none" w:sz="0" w:space="0" w:color="auto"/>
        <w:bottom w:val="none" w:sz="0" w:space="0" w:color="auto"/>
        <w:right w:val="none" w:sz="0" w:space="0" w:color="auto"/>
      </w:divBdr>
    </w:div>
    <w:div w:id="1945918515">
      <w:bodyDiv w:val="1"/>
      <w:marLeft w:val="0"/>
      <w:marRight w:val="0"/>
      <w:marTop w:val="0"/>
      <w:marBottom w:val="0"/>
      <w:divBdr>
        <w:top w:val="none" w:sz="0" w:space="0" w:color="auto"/>
        <w:left w:val="none" w:sz="0" w:space="0" w:color="auto"/>
        <w:bottom w:val="none" w:sz="0" w:space="0" w:color="auto"/>
        <w:right w:val="none" w:sz="0" w:space="0" w:color="auto"/>
      </w:divBdr>
    </w:div>
    <w:div w:id="2050298338">
      <w:bodyDiv w:val="1"/>
      <w:marLeft w:val="0"/>
      <w:marRight w:val="0"/>
      <w:marTop w:val="0"/>
      <w:marBottom w:val="0"/>
      <w:divBdr>
        <w:top w:val="none" w:sz="0" w:space="0" w:color="auto"/>
        <w:left w:val="none" w:sz="0" w:space="0" w:color="auto"/>
        <w:bottom w:val="none" w:sz="0" w:space="0" w:color="auto"/>
        <w:right w:val="none" w:sz="0" w:space="0" w:color="auto"/>
      </w:divBdr>
    </w:div>
    <w:div w:id="2058430937">
      <w:bodyDiv w:val="1"/>
      <w:marLeft w:val="0"/>
      <w:marRight w:val="0"/>
      <w:marTop w:val="0"/>
      <w:marBottom w:val="0"/>
      <w:divBdr>
        <w:top w:val="none" w:sz="0" w:space="0" w:color="auto"/>
        <w:left w:val="none" w:sz="0" w:space="0" w:color="auto"/>
        <w:bottom w:val="none" w:sz="0" w:space="0" w:color="auto"/>
        <w:right w:val="none" w:sz="0" w:space="0" w:color="auto"/>
      </w:divBdr>
    </w:div>
    <w:div w:id="2075078829">
      <w:bodyDiv w:val="1"/>
      <w:marLeft w:val="0"/>
      <w:marRight w:val="0"/>
      <w:marTop w:val="0"/>
      <w:marBottom w:val="0"/>
      <w:divBdr>
        <w:top w:val="none" w:sz="0" w:space="0" w:color="auto"/>
        <w:left w:val="none" w:sz="0" w:space="0" w:color="auto"/>
        <w:bottom w:val="none" w:sz="0" w:space="0" w:color="auto"/>
        <w:right w:val="none" w:sz="0" w:space="0" w:color="auto"/>
      </w:divBdr>
    </w:div>
    <w:div w:id="2091463355">
      <w:bodyDiv w:val="1"/>
      <w:marLeft w:val="0"/>
      <w:marRight w:val="0"/>
      <w:marTop w:val="0"/>
      <w:marBottom w:val="0"/>
      <w:divBdr>
        <w:top w:val="none" w:sz="0" w:space="0" w:color="auto"/>
        <w:left w:val="none" w:sz="0" w:space="0" w:color="auto"/>
        <w:bottom w:val="none" w:sz="0" w:space="0" w:color="auto"/>
        <w:right w:val="none" w:sz="0" w:space="0" w:color="auto"/>
      </w:divBdr>
    </w:div>
    <w:div w:id="2103528641">
      <w:bodyDiv w:val="1"/>
      <w:marLeft w:val="0"/>
      <w:marRight w:val="0"/>
      <w:marTop w:val="0"/>
      <w:marBottom w:val="0"/>
      <w:divBdr>
        <w:top w:val="none" w:sz="0" w:space="0" w:color="auto"/>
        <w:left w:val="none" w:sz="0" w:space="0" w:color="auto"/>
        <w:bottom w:val="none" w:sz="0" w:space="0" w:color="auto"/>
        <w:right w:val="none" w:sz="0" w:space="0" w:color="auto"/>
      </w:divBdr>
    </w:div>
    <w:div w:id="2124111591">
      <w:bodyDiv w:val="1"/>
      <w:marLeft w:val="0"/>
      <w:marRight w:val="0"/>
      <w:marTop w:val="0"/>
      <w:marBottom w:val="0"/>
      <w:divBdr>
        <w:top w:val="none" w:sz="0" w:space="0" w:color="auto"/>
        <w:left w:val="none" w:sz="0" w:space="0" w:color="auto"/>
        <w:bottom w:val="none" w:sz="0" w:space="0" w:color="auto"/>
        <w:right w:val="none" w:sz="0" w:space="0" w:color="auto"/>
      </w:divBdr>
    </w:div>
    <w:div w:id="2128616670">
      <w:bodyDiv w:val="1"/>
      <w:marLeft w:val="0"/>
      <w:marRight w:val="0"/>
      <w:marTop w:val="0"/>
      <w:marBottom w:val="0"/>
      <w:divBdr>
        <w:top w:val="none" w:sz="0" w:space="0" w:color="auto"/>
        <w:left w:val="none" w:sz="0" w:space="0" w:color="auto"/>
        <w:bottom w:val="none" w:sz="0" w:space="0" w:color="auto"/>
        <w:right w:val="none" w:sz="0" w:space="0" w:color="auto"/>
      </w:divBdr>
    </w:div>
    <w:div w:id="2142772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gif"/><Relationship Id="rId21" Type="http://schemas.openxmlformats.org/officeDocument/2006/relationships/image" Target="media/image14.gif"/><Relationship Id="rId42" Type="http://schemas.openxmlformats.org/officeDocument/2006/relationships/image" Target="media/image35.gif"/><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gif"/><Relationship Id="rId11" Type="http://schemas.openxmlformats.org/officeDocument/2006/relationships/image" Target="media/image4.gif"/><Relationship Id="rId24" Type="http://schemas.openxmlformats.org/officeDocument/2006/relationships/image" Target="media/image17.gif"/><Relationship Id="rId32" Type="http://schemas.openxmlformats.org/officeDocument/2006/relationships/image" Target="media/image25.gif"/><Relationship Id="rId37" Type="http://schemas.openxmlformats.org/officeDocument/2006/relationships/image" Target="media/image30.gif"/><Relationship Id="rId40" Type="http://schemas.openxmlformats.org/officeDocument/2006/relationships/image" Target="media/image33.gif"/><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102"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gif"/><Relationship Id="rId14" Type="http://schemas.openxmlformats.org/officeDocument/2006/relationships/image" Target="media/image7.jpeg"/><Relationship Id="rId22" Type="http://schemas.openxmlformats.org/officeDocument/2006/relationships/image" Target="media/image15.gif"/><Relationship Id="rId27" Type="http://schemas.openxmlformats.org/officeDocument/2006/relationships/image" Target="media/image20.gif"/><Relationship Id="rId30" Type="http://schemas.openxmlformats.org/officeDocument/2006/relationships/image" Target="media/image23.gif"/><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gif"/><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3" Type="http://schemas.openxmlformats.org/officeDocument/2006/relationships/styles" Target="styles.xml"/><Relationship Id="rId12" Type="http://schemas.openxmlformats.org/officeDocument/2006/relationships/image" Target="media/image5.gif"/><Relationship Id="rId17" Type="http://schemas.openxmlformats.org/officeDocument/2006/relationships/image" Target="media/image10.gif"/><Relationship Id="rId25" Type="http://schemas.openxmlformats.org/officeDocument/2006/relationships/image" Target="media/image18.gif"/><Relationship Id="rId33" Type="http://schemas.openxmlformats.org/officeDocument/2006/relationships/image" Target="media/image26.gif"/><Relationship Id="rId38" Type="http://schemas.openxmlformats.org/officeDocument/2006/relationships/image" Target="media/image31.gif"/><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fontTable" Target="fontTable.xml"/><Relationship Id="rId20" Type="http://schemas.openxmlformats.org/officeDocument/2006/relationships/image" Target="media/image13.gif"/><Relationship Id="rId41" Type="http://schemas.openxmlformats.org/officeDocument/2006/relationships/image" Target="media/image34.gif"/><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gif"/><Relationship Id="rId28" Type="http://schemas.openxmlformats.org/officeDocument/2006/relationships/image" Target="media/image21.gif"/><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gif"/><Relationship Id="rId31" Type="http://schemas.openxmlformats.org/officeDocument/2006/relationships/image" Target="media/image24.gif"/><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gif"/><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header" Target="header1.xml"/><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6.gif"/><Relationship Id="rId18" Type="http://schemas.openxmlformats.org/officeDocument/2006/relationships/image" Target="media/image11.gif"/><Relationship Id="rId39" Type="http://schemas.openxmlformats.org/officeDocument/2006/relationships/image" Target="media/image32.gif"/><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gif"/><Relationship Id="rId97" Type="http://schemas.openxmlformats.org/officeDocument/2006/relationships/image" Target="media/image90.jpeg"/><Relationship Id="rId10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59A8A-8DCB-46D7-BEFB-62A83FF16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145</Pages>
  <Words>72197</Words>
  <Characters>433184</Characters>
  <Application>Microsoft Office Word</Application>
  <DocSecurity>0</DocSecurity>
  <Lines>3609</Lines>
  <Paragraphs>1008</Paragraphs>
  <ScaleCrop>false</ScaleCrop>
  <HeadingPairs>
    <vt:vector size="2" baseType="variant">
      <vt:variant>
        <vt:lpstr>Tytuł</vt:lpstr>
      </vt:variant>
      <vt:variant>
        <vt:i4>1</vt:i4>
      </vt:variant>
    </vt:vector>
  </HeadingPairs>
  <TitlesOfParts>
    <vt:vector size="1" baseType="lpstr">
      <vt:lpstr/>
    </vt:vector>
  </TitlesOfParts>
  <Company>trans</Company>
  <LinksUpToDate>false</LinksUpToDate>
  <CharactersWithSpaces>504373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Stanisław Kurz</dc:creator>
  <cp:lastModifiedBy>Rysiek jach</cp:lastModifiedBy>
  <cp:revision>4</cp:revision>
  <cp:lastPrinted>2024-03-05T12:20:00Z</cp:lastPrinted>
  <dcterms:created xsi:type="dcterms:W3CDTF">2026-02-05T06:47:00Z</dcterms:created>
  <dcterms:modified xsi:type="dcterms:W3CDTF">2026-02-05T06:54:00Z</dcterms:modified>
</cp:coreProperties>
</file>